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A3A6" w14:textId="77777777" w:rsidR="00120F24" w:rsidRPr="002955D3" w:rsidRDefault="00120F24" w:rsidP="00120F24">
      <w:pPr>
        <w:keepNext/>
        <w:keepLines/>
        <w:spacing w:before="240" w:after="0"/>
        <w:outlineLvl w:val="0"/>
        <w:rPr>
          <w:rFonts w:asciiTheme="majorHAnsi" w:eastAsiaTheme="majorEastAsia" w:hAnsiTheme="majorHAnsi" w:cstheme="majorBidi"/>
          <w:color w:val="2F5496" w:themeColor="accent1" w:themeShade="BF"/>
          <w:sz w:val="32"/>
          <w:szCs w:val="32"/>
        </w:rPr>
      </w:pPr>
      <w:r w:rsidRPr="002955D3">
        <w:rPr>
          <w:rFonts w:asciiTheme="majorHAnsi" w:eastAsiaTheme="majorEastAsia" w:hAnsiTheme="majorHAnsi" w:cstheme="majorBidi"/>
          <w:color w:val="2F5496" w:themeColor="accent1" w:themeShade="BF"/>
          <w:sz w:val="32"/>
          <w:szCs w:val="32"/>
        </w:rPr>
        <w:t>VERSIONSUPPDATERING 88.0 AV PROCOUNTOR</w:t>
      </w:r>
    </w:p>
    <w:p w14:paraId="0D6CD7D2" w14:textId="1D79699B" w:rsidR="00120F24" w:rsidRPr="002955D3" w:rsidRDefault="00120F24" w:rsidP="00120F24">
      <w:r>
        <w:t xml:space="preserve">(In English </w:t>
      </w:r>
      <w:proofErr w:type="spellStart"/>
      <w:r>
        <w:t>further</w:t>
      </w:r>
      <w:proofErr w:type="spellEnd"/>
      <w:r>
        <w:t xml:space="preserve"> down)</w:t>
      </w:r>
    </w:p>
    <w:p w14:paraId="23A055D4" w14:textId="77777777" w:rsidR="00120F24" w:rsidRPr="002955D3" w:rsidRDefault="00120F24" w:rsidP="00120F24">
      <w:pPr>
        <w:spacing w:after="0"/>
        <w:rPr>
          <w:rStyle w:val="Heading2Char"/>
          <w:rFonts w:cstheme="minorHAnsi"/>
        </w:rPr>
      </w:pPr>
      <w:r w:rsidRPr="002955D3">
        <w:rPr>
          <w:rStyle w:val="Heading2Char"/>
          <w:rFonts w:cstheme="minorHAnsi"/>
        </w:rPr>
        <w:t xml:space="preserve">Möjlighet att ändra nya </w:t>
      </w:r>
      <w:proofErr w:type="spellStart"/>
      <w:r w:rsidRPr="002955D3">
        <w:rPr>
          <w:rStyle w:val="Heading2Char"/>
          <w:rFonts w:cstheme="minorHAnsi"/>
        </w:rPr>
        <w:t>widgeten</w:t>
      </w:r>
      <w:proofErr w:type="spellEnd"/>
      <w:r w:rsidRPr="002955D3">
        <w:rPr>
          <w:rStyle w:val="Heading2Char"/>
          <w:rFonts w:cstheme="minorHAnsi"/>
        </w:rPr>
        <w:t xml:space="preserve"> ”Procountor Store”</w:t>
      </w:r>
    </w:p>
    <w:p w14:paraId="590964E1" w14:textId="77777777" w:rsidR="00120F24" w:rsidRPr="002955D3" w:rsidRDefault="00120F24" w:rsidP="00120F24">
      <w:pPr>
        <w:rPr>
          <w:rStyle w:val="Heading2Char"/>
          <w:rFonts w:cstheme="minorHAnsi"/>
          <w:color w:val="auto"/>
        </w:rPr>
      </w:pPr>
      <w:r w:rsidRPr="002955D3">
        <w:rPr>
          <w:rStyle w:val="Heading2Char"/>
          <w:rFonts w:cstheme="minorHAnsi"/>
          <w:color w:val="auto"/>
        </w:rPr>
        <w:t>Vår nya ”Procountor Store”-</w:t>
      </w:r>
      <w:proofErr w:type="spellStart"/>
      <w:r w:rsidRPr="002955D3">
        <w:rPr>
          <w:rStyle w:val="Heading2Char"/>
          <w:rFonts w:cstheme="minorHAnsi"/>
          <w:color w:val="auto"/>
        </w:rPr>
        <w:t>widget</w:t>
      </w:r>
      <w:proofErr w:type="spellEnd"/>
      <w:r w:rsidRPr="002955D3">
        <w:rPr>
          <w:rStyle w:val="Heading2Char"/>
          <w:rFonts w:cstheme="minorHAnsi"/>
          <w:color w:val="auto"/>
        </w:rPr>
        <w:t>, som tidigare inte gick att redigera, är från och med nu möjlig både att flytta på och att inaktivera.</w:t>
      </w:r>
    </w:p>
    <w:p w14:paraId="586FF4C9" w14:textId="77777777" w:rsidR="00120F24" w:rsidRPr="002955D3" w:rsidRDefault="00120F24" w:rsidP="00120F24"/>
    <w:p w14:paraId="5A0EB62F" w14:textId="77777777" w:rsidR="00120F24" w:rsidRPr="002955D3" w:rsidRDefault="00120F24" w:rsidP="00120F24">
      <w:pPr>
        <w:pStyle w:val="Heading2"/>
      </w:pPr>
      <w:r w:rsidRPr="002955D3">
        <w:t>Rapporters namn följer med vid exporter</w:t>
      </w:r>
    </w:p>
    <w:p w14:paraId="017009E3" w14:textId="77777777" w:rsidR="00120F24" w:rsidRPr="002955D3" w:rsidRDefault="00120F24" w:rsidP="00120F24">
      <w:pPr>
        <w:rPr>
          <w:rStyle w:val="Strong"/>
        </w:rPr>
      </w:pPr>
      <w:r w:rsidRPr="002955D3">
        <w:rPr>
          <w:rStyle w:val="Strong"/>
        </w:rPr>
        <w:t>I Sverige har följande rapporter fått ett nytt namn (eller är en ny rapport) på exporten:</w:t>
      </w:r>
    </w:p>
    <w:p w14:paraId="4237F0A7" w14:textId="77777777" w:rsidR="00120F24" w:rsidRPr="002955D3" w:rsidRDefault="00120F24" w:rsidP="00120F24">
      <w:pPr>
        <w:pStyle w:val="ListParagraph"/>
        <w:numPr>
          <w:ilvl w:val="0"/>
          <w:numId w:val="13"/>
        </w:numPr>
      </w:pPr>
      <w:r w:rsidRPr="002955D3">
        <w:rPr>
          <w:rStyle w:val="Strong"/>
        </w:rPr>
        <w:t>Verifikationslista</w:t>
      </w:r>
      <w:r w:rsidRPr="002955D3">
        <w:t xml:space="preserve"> (</w:t>
      </w:r>
      <w:proofErr w:type="spellStart"/>
      <w:r w:rsidRPr="002955D3">
        <w:rPr>
          <w:lang w:val="en-US"/>
        </w:rPr>
        <w:t>tidigare</w:t>
      </w:r>
      <w:proofErr w:type="spellEnd"/>
      <w:r w:rsidRPr="002955D3">
        <w:rPr>
          <w:lang w:val="en-US"/>
        </w:rPr>
        <w:t xml:space="preserve"> </w:t>
      </w:r>
      <w:proofErr w:type="spellStart"/>
      <w:r w:rsidRPr="002955D3">
        <w:rPr>
          <w:lang w:val="en-US"/>
        </w:rPr>
        <w:t>namn</w:t>
      </w:r>
      <w:proofErr w:type="spellEnd"/>
      <w:r w:rsidRPr="002955D3">
        <w:t>: Dagbok)</w:t>
      </w:r>
    </w:p>
    <w:p w14:paraId="7718106E" w14:textId="77777777" w:rsidR="00120F24" w:rsidRPr="002955D3" w:rsidRDefault="00120F24" w:rsidP="00120F24">
      <w:pPr>
        <w:pStyle w:val="ListParagraph"/>
        <w:numPr>
          <w:ilvl w:val="0"/>
          <w:numId w:val="13"/>
        </w:numPr>
      </w:pPr>
      <w:r w:rsidRPr="002955D3">
        <w:rPr>
          <w:rStyle w:val="Strong"/>
        </w:rPr>
        <w:t>Transaktioner per dimension</w:t>
      </w:r>
      <w:r w:rsidRPr="002955D3">
        <w:t xml:space="preserve"> (tidigare namn: Transaktioner enligt dimensioner)</w:t>
      </w:r>
    </w:p>
    <w:p w14:paraId="713B487D" w14:textId="77777777" w:rsidR="00120F24" w:rsidRPr="002955D3" w:rsidRDefault="00120F24" w:rsidP="00120F24">
      <w:pPr>
        <w:pStyle w:val="ListParagraph"/>
        <w:numPr>
          <w:ilvl w:val="0"/>
          <w:numId w:val="13"/>
        </w:numPr>
      </w:pPr>
      <w:r w:rsidRPr="002955D3">
        <w:rPr>
          <w:rStyle w:val="Strong"/>
        </w:rPr>
        <w:t>Saldolista</w:t>
      </w:r>
      <w:r w:rsidRPr="002955D3">
        <w:t xml:space="preserve"> (ny rapport sedan namnändringarna av rapporterna)</w:t>
      </w:r>
    </w:p>
    <w:p w14:paraId="0A58DF6C" w14:textId="77777777" w:rsidR="00120F24" w:rsidRPr="002955D3" w:rsidRDefault="00120F24" w:rsidP="00120F24"/>
    <w:p w14:paraId="0E7FD707" w14:textId="77777777" w:rsidR="00120F24" w:rsidRPr="002955D3" w:rsidRDefault="00120F24" w:rsidP="00120F24">
      <w:pPr>
        <w:pStyle w:val="Heading2"/>
        <w:rPr>
          <w:rStyle w:val="Heading2Char"/>
          <w:rFonts w:asciiTheme="minorHAnsi" w:hAnsiTheme="minorHAnsi" w:cstheme="minorHAnsi"/>
        </w:rPr>
      </w:pPr>
      <w:r w:rsidRPr="002955D3">
        <w:rPr>
          <w:rStyle w:val="Heading2Char"/>
          <w:rFonts w:asciiTheme="minorHAnsi" w:hAnsiTheme="minorHAnsi" w:cstheme="minorHAnsi"/>
        </w:rPr>
        <w:t xml:space="preserve">Logiken på leverantörsfakturornas </w:t>
      </w:r>
      <w:proofErr w:type="spellStart"/>
      <w:r w:rsidRPr="002955D3">
        <w:rPr>
          <w:rStyle w:val="Heading2Char"/>
          <w:rFonts w:asciiTheme="minorHAnsi" w:hAnsiTheme="minorHAnsi" w:cstheme="minorHAnsi"/>
        </w:rPr>
        <w:t>bokföringvy</w:t>
      </w:r>
      <w:proofErr w:type="spellEnd"/>
      <w:r w:rsidRPr="002955D3">
        <w:rPr>
          <w:rStyle w:val="Heading2Char"/>
          <w:rFonts w:asciiTheme="minorHAnsi" w:hAnsiTheme="minorHAnsi" w:cstheme="minorHAnsi"/>
        </w:rPr>
        <w:t xml:space="preserve"> ändras</w:t>
      </w:r>
    </w:p>
    <w:p w14:paraId="5968E223" w14:textId="77777777" w:rsidR="00120F24" w:rsidRPr="002955D3" w:rsidRDefault="00120F24" w:rsidP="00120F24">
      <w:r w:rsidRPr="002955D3">
        <w:t xml:space="preserve">Logiken gällande momsprocenten för leverantörsfakturorna, som visas i fakturans </w:t>
      </w:r>
      <w:proofErr w:type="spellStart"/>
      <w:r w:rsidRPr="002955D3">
        <w:t>bokföringsvy</w:t>
      </w:r>
      <w:proofErr w:type="spellEnd"/>
      <w:r w:rsidRPr="002955D3">
        <w:t xml:space="preserve">, är nu densamma som finns på både journaler och bankkontoutdrag. Detta innebär att när momsprocenten ändras så förblir värdet i </w:t>
      </w:r>
      <w:r w:rsidRPr="002955D3">
        <w:rPr>
          <w:b/>
          <w:bCs/>
        </w:rPr>
        <w:t>Belopp</w:t>
      </w:r>
      <w:r w:rsidRPr="002955D3">
        <w:t xml:space="preserve"> detsamma. Däremot anpassas värdet i </w:t>
      </w:r>
      <w:r w:rsidRPr="002955D3">
        <w:rPr>
          <w:b/>
          <w:bCs/>
        </w:rPr>
        <w:t>Totalt</w:t>
      </w:r>
      <w:r w:rsidRPr="002955D3">
        <w:t xml:space="preserve"> efter beloppet och momsprocenten. </w:t>
      </w:r>
    </w:p>
    <w:p w14:paraId="27B83434" w14:textId="77777777" w:rsidR="00120F24" w:rsidRPr="002955D3" w:rsidRDefault="00120F24" w:rsidP="00120F24">
      <w:r w:rsidRPr="002955D3">
        <w:rPr>
          <w:noProof/>
          <w14:ligatures w14:val="none"/>
        </w:rPr>
        <w:drawing>
          <wp:inline distT="0" distB="0" distL="0" distR="0" wp14:anchorId="259FAC79" wp14:editId="79A87492">
            <wp:extent cx="5731510" cy="33426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342640"/>
                    </a:xfrm>
                    <a:prstGeom prst="rect">
                      <a:avLst/>
                    </a:prstGeom>
                  </pic:spPr>
                </pic:pic>
              </a:graphicData>
            </a:graphic>
          </wp:inline>
        </w:drawing>
      </w:r>
    </w:p>
    <w:p w14:paraId="60B78069" w14:textId="77777777" w:rsidR="00120F24" w:rsidRPr="002955D3" w:rsidRDefault="00120F24" w:rsidP="00120F24"/>
    <w:p w14:paraId="7AC62DF5" w14:textId="77777777" w:rsidR="00120F24" w:rsidRPr="002955D3" w:rsidRDefault="00120F24" w:rsidP="00120F24">
      <w:pPr>
        <w:pStyle w:val="Heading2"/>
      </w:pPr>
      <w:r w:rsidRPr="002955D3">
        <w:t xml:space="preserve">Hjälpcenter-knappens ikon </w:t>
      </w:r>
    </w:p>
    <w:p w14:paraId="1FDE0CD6" w14:textId="77777777" w:rsidR="00120F24" w:rsidRPr="002955D3" w:rsidRDefault="00120F24" w:rsidP="00120F24">
      <w:pPr>
        <w:rPr>
          <w:shd w:val="clear" w:color="auto" w:fill="FFFFFF"/>
        </w:rPr>
      </w:pPr>
      <w:r w:rsidRPr="002955D3">
        <w:rPr>
          <w:shd w:val="clear" w:color="auto" w:fill="FFFFFF"/>
        </w:rPr>
        <w:t xml:space="preserve">Förbättring av knappen Hjälpcenter har gjorts så att när ett </w:t>
      </w:r>
      <w:proofErr w:type="spellStart"/>
      <w:r w:rsidRPr="002955D3">
        <w:rPr>
          <w:shd w:val="clear" w:color="auto" w:fill="FFFFFF"/>
        </w:rPr>
        <w:t>Intercom</w:t>
      </w:r>
      <w:proofErr w:type="spellEnd"/>
      <w:r w:rsidRPr="002955D3">
        <w:rPr>
          <w:shd w:val="clear" w:color="auto" w:fill="FFFFFF"/>
        </w:rPr>
        <w:t xml:space="preserve">-meddelande är öppet visas en rullgardinsmeny och när meddelandet stängs ändras denne tillbaka till ikonen för Hjälpcenter. </w:t>
      </w:r>
    </w:p>
    <w:p w14:paraId="249F38E6" w14:textId="77777777" w:rsidR="00120F24" w:rsidRPr="002955D3" w:rsidRDefault="00120F24" w:rsidP="00120F24">
      <w:r w:rsidRPr="002955D3">
        <w:rPr>
          <w:noProof/>
          <w14:ligatures w14:val="none"/>
        </w:rPr>
        <w:drawing>
          <wp:anchor distT="0" distB="0" distL="114300" distR="114300" simplePos="0" relativeHeight="251661312" behindDoc="1" locked="0" layoutInCell="1" allowOverlap="1" wp14:anchorId="4E8D0457" wp14:editId="12EC6ED3">
            <wp:simplePos x="0" y="0"/>
            <wp:positionH relativeFrom="column">
              <wp:posOffset>2981325</wp:posOffset>
            </wp:positionH>
            <wp:positionV relativeFrom="paragraph">
              <wp:posOffset>8255</wp:posOffset>
            </wp:positionV>
            <wp:extent cx="638175" cy="1205865"/>
            <wp:effectExtent l="0" t="0" r="9525" b="0"/>
            <wp:wrapTight wrapText="bothSides">
              <wp:wrapPolygon edited="0">
                <wp:start x="0" y="0"/>
                <wp:lineTo x="0" y="21156"/>
                <wp:lineTo x="21278" y="21156"/>
                <wp:lineTo x="2127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38175" cy="1205865"/>
                    </a:xfrm>
                    <a:prstGeom prst="rect">
                      <a:avLst/>
                    </a:prstGeom>
                  </pic:spPr>
                </pic:pic>
              </a:graphicData>
            </a:graphic>
          </wp:anchor>
        </w:drawing>
      </w:r>
      <w:r w:rsidRPr="002955D3">
        <w:t>Hjälpcenter (standard)</w:t>
      </w:r>
    </w:p>
    <w:p w14:paraId="0B568A27" w14:textId="77777777" w:rsidR="00120F24" w:rsidRPr="002955D3" w:rsidRDefault="00120F24" w:rsidP="00120F24"/>
    <w:p w14:paraId="11FEAF4C" w14:textId="77777777" w:rsidR="00120F24" w:rsidRPr="002955D3" w:rsidRDefault="00120F24" w:rsidP="00120F24"/>
    <w:p w14:paraId="7297A1C4" w14:textId="77777777" w:rsidR="00120F24" w:rsidRPr="002955D3" w:rsidRDefault="00120F24" w:rsidP="00120F24">
      <w:r w:rsidRPr="002955D3">
        <w:t>Hjälpcenter (meddelandet är öppet)</w:t>
      </w:r>
    </w:p>
    <w:p w14:paraId="3E25CE05" w14:textId="77777777" w:rsidR="00120F24" w:rsidRPr="002955D3" w:rsidRDefault="00120F24" w:rsidP="00120F24"/>
    <w:p w14:paraId="4B5D6C5C" w14:textId="77777777" w:rsidR="00120F24" w:rsidRPr="002955D3" w:rsidRDefault="00120F24" w:rsidP="00120F24">
      <w:pPr>
        <w:pStyle w:val="Heading2"/>
      </w:pPr>
    </w:p>
    <w:p w14:paraId="5A12D764" w14:textId="77777777" w:rsidR="00120F24" w:rsidRPr="002955D3" w:rsidRDefault="00120F24" w:rsidP="00120F24">
      <w:pPr>
        <w:pStyle w:val="Heading2"/>
      </w:pPr>
      <w:r w:rsidRPr="002955D3">
        <w:t>Nya kvittons sorteringsordning ändrad</w:t>
      </w:r>
    </w:p>
    <w:p w14:paraId="1FDE0C98" w14:textId="77777777" w:rsidR="00120F24" w:rsidRPr="002955D3" w:rsidRDefault="00120F24" w:rsidP="00120F24">
      <w:r w:rsidRPr="002955D3">
        <w:t xml:space="preserve">Via </w:t>
      </w:r>
      <w:r w:rsidRPr="002955D3">
        <w:rPr>
          <w:b/>
          <w:bCs/>
        </w:rPr>
        <w:t>Kvittohanteringen</w:t>
      </w:r>
      <w:r w:rsidRPr="002955D3">
        <w:t xml:space="preserve"> (</w:t>
      </w:r>
      <w:proofErr w:type="gramStart"/>
      <w:r w:rsidRPr="002955D3">
        <w:rPr>
          <w:b/>
          <w:bCs/>
        </w:rPr>
        <w:t>Sök &gt;</w:t>
      </w:r>
      <w:proofErr w:type="gramEnd"/>
      <w:r w:rsidRPr="002955D3">
        <w:rPr>
          <w:b/>
          <w:bCs/>
        </w:rPr>
        <w:t xml:space="preserve"> Kvittohantering</w:t>
      </w:r>
      <w:r w:rsidRPr="002955D3">
        <w:t>) har man, via funktionen ”</w:t>
      </w:r>
      <w:r w:rsidRPr="002955D3">
        <w:rPr>
          <w:b/>
          <w:bCs/>
        </w:rPr>
        <w:t>Redigera valda</w:t>
      </w:r>
      <w:r w:rsidRPr="002955D3">
        <w:t>” tidigare endast kunna se på markerade kvitton i datumordning. Efter denna versionsuppdatering är det nu möjligt att sortera sökresultatet på önskat sätt, till exempel efter ”säljare”. Då utgår visningen av kvittona efter ordningen på sökresultatet och inte enligt datumordningen.</w:t>
      </w:r>
    </w:p>
    <w:p w14:paraId="2495E0F6" w14:textId="77777777" w:rsidR="00120F24" w:rsidRPr="002955D3" w:rsidRDefault="00120F24" w:rsidP="00120F24">
      <w:r w:rsidRPr="002955D3">
        <w:rPr>
          <w:noProof/>
          <w14:ligatures w14:val="none"/>
        </w:rPr>
        <w:drawing>
          <wp:inline distT="0" distB="0" distL="0" distR="0" wp14:anchorId="136459BD" wp14:editId="0BD36D46">
            <wp:extent cx="5731510" cy="289306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893060"/>
                    </a:xfrm>
                    <a:prstGeom prst="rect">
                      <a:avLst/>
                    </a:prstGeom>
                  </pic:spPr>
                </pic:pic>
              </a:graphicData>
            </a:graphic>
          </wp:inline>
        </w:drawing>
      </w:r>
    </w:p>
    <w:p w14:paraId="24E40A9F" w14:textId="77777777" w:rsidR="00120F24" w:rsidRPr="002955D3" w:rsidRDefault="00120F24" w:rsidP="00120F24">
      <w:r w:rsidRPr="002955D3">
        <w:rPr>
          <w:noProof/>
          <w14:ligatures w14:val="none"/>
        </w:rPr>
        <w:drawing>
          <wp:inline distT="0" distB="0" distL="0" distR="0" wp14:anchorId="4913C017" wp14:editId="15BD0BE6">
            <wp:extent cx="5731510" cy="2835275"/>
            <wp:effectExtent l="0" t="0" r="254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835275"/>
                    </a:xfrm>
                    <a:prstGeom prst="rect">
                      <a:avLst/>
                    </a:prstGeom>
                  </pic:spPr>
                </pic:pic>
              </a:graphicData>
            </a:graphic>
          </wp:inline>
        </w:drawing>
      </w:r>
    </w:p>
    <w:p w14:paraId="5B7833A7" w14:textId="77777777" w:rsidR="00120F24" w:rsidRPr="002955D3" w:rsidRDefault="00120F24" w:rsidP="00120F24">
      <w:pPr>
        <w:pStyle w:val="Heading2"/>
      </w:pPr>
    </w:p>
    <w:p w14:paraId="2D6268DB" w14:textId="77777777" w:rsidR="00120F24" w:rsidRPr="002955D3" w:rsidRDefault="00120F24" w:rsidP="00120F24">
      <w:pPr>
        <w:pStyle w:val="Heading2"/>
      </w:pPr>
      <w:r w:rsidRPr="002955D3">
        <w:t>Spårbarhet för verifikationsnumret i SIE-exporter</w:t>
      </w:r>
    </w:p>
    <w:p w14:paraId="335D7592" w14:textId="77777777" w:rsidR="00120F24" w:rsidRPr="002955D3" w:rsidRDefault="00120F24" w:rsidP="00120F24">
      <w:r w:rsidRPr="002955D3">
        <w:t xml:space="preserve">Sedan några månader tillbaka har det varaktiga serienumret inkluderats i SIE-exporterna som verifikationsnummer. I och med denna versionsuppdatering tillkommer verifikationsnumret på varje transaktion. </w:t>
      </w:r>
    </w:p>
    <w:p w14:paraId="23743DFA" w14:textId="77777777" w:rsidR="00120F24" w:rsidRPr="002955D3" w:rsidRDefault="00120F24" w:rsidP="00120F24">
      <w:r w:rsidRPr="002955D3">
        <w:t>Exempel:</w:t>
      </w:r>
    </w:p>
    <w:p w14:paraId="3D7A74CA" w14:textId="77777777" w:rsidR="00120F24" w:rsidRPr="002955D3" w:rsidRDefault="00120F24" w:rsidP="00120F24">
      <w:r w:rsidRPr="002955D3">
        <w:t>Leverantörsfakturan med verifikationsnummer (B) 774 ser ut så här i Procountor.</w:t>
      </w:r>
    </w:p>
    <w:p w14:paraId="1DDF427A" w14:textId="77777777" w:rsidR="00120F24" w:rsidRPr="002955D3" w:rsidRDefault="00120F24" w:rsidP="00120F24">
      <w:r w:rsidRPr="002955D3">
        <w:rPr>
          <w:noProof/>
          <w14:ligatures w14:val="none"/>
        </w:rPr>
        <w:drawing>
          <wp:inline distT="0" distB="0" distL="0" distR="0" wp14:anchorId="107E2C5B" wp14:editId="53786291">
            <wp:extent cx="5731510" cy="83185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831850"/>
                    </a:xfrm>
                    <a:prstGeom prst="rect">
                      <a:avLst/>
                    </a:prstGeom>
                  </pic:spPr>
                </pic:pic>
              </a:graphicData>
            </a:graphic>
          </wp:inline>
        </w:drawing>
      </w:r>
    </w:p>
    <w:p w14:paraId="1905F4AD" w14:textId="77777777" w:rsidR="00120F24" w:rsidRPr="002955D3" w:rsidRDefault="00120F24" w:rsidP="00120F24">
      <w:r w:rsidRPr="002955D3">
        <w:t>Och visas i den exporterade SIE-filen på det här sättet.</w:t>
      </w:r>
    </w:p>
    <w:p w14:paraId="148846B9" w14:textId="77777777" w:rsidR="00120F24" w:rsidRPr="002955D3" w:rsidRDefault="00120F24" w:rsidP="00120F24">
      <w:r w:rsidRPr="002955D3">
        <w:rPr>
          <w:noProof/>
          <w14:ligatures w14:val="none"/>
        </w:rPr>
        <w:drawing>
          <wp:inline distT="0" distB="0" distL="0" distR="0" wp14:anchorId="4C6A47C4" wp14:editId="2450040B">
            <wp:extent cx="3819525" cy="485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19525" cy="485775"/>
                    </a:xfrm>
                    <a:prstGeom prst="rect">
                      <a:avLst/>
                    </a:prstGeom>
                  </pic:spPr>
                </pic:pic>
              </a:graphicData>
            </a:graphic>
          </wp:inline>
        </w:drawing>
      </w:r>
    </w:p>
    <w:p w14:paraId="4B0DF1AF" w14:textId="77777777" w:rsidR="00120F24" w:rsidRPr="002955D3" w:rsidRDefault="00120F24" w:rsidP="00120F24"/>
    <w:p w14:paraId="70FDB58A" w14:textId="77777777" w:rsidR="00120F24" w:rsidRPr="002955D3" w:rsidRDefault="00120F24" w:rsidP="00120F24">
      <w:pPr>
        <w:pStyle w:val="Heading2"/>
      </w:pPr>
      <w:r w:rsidRPr="002955D3">
        <w:t>Ny rapport som visar det nya varaktiga serienumret</w:t>
      </w:r>
    </w:p>
    <w:p w14:paraId="502A6FB6" w14:textId="77777777" w:rsidR="00120F24" w:rsidRDefault="00120F24" w:rsidP="00120F24">
      <w:r w:rsidRPr="002955D3">
        <w:t xml:space="preserve">Via </w:t>
      </w:r>
      <w:r w:rsidRPr="002955D3">
        <w:rPr>
          <w:b/>
          <w:bCs/>
        </w:rPr>
        <w:t xml:space="preserve">Rapporter </w:t>
      </w:r>
      <w:r w:rsidRPr="002955D3">
        <w:t xml:space="preserve">(som hittas via antingen </w:t>
      </w:r>
      <w:r w:rsidRPr="002955D3">
        <w:rPr>
          <w:b/>
          <w:bCs/>
        </w:rPr>
        <w:t xml:space="preserve">Rapportering </w:t>
      </w:r>
      <w:r w:rsidRPr="002955D3">
        <w:t xml:space="preserve">eller </w:t>
      </w:r>
      <w:r w:rsidRPr="002955D3">
        <w:rPr>
          <w:b/>
          <w:bCs/>
        </w:rPr>
        <w:t>Bokföring</w:t>
      </w:r>
      <w:r w:rsidRPr="002955D3">
        <w:t xml:space="preserve"> i menyn) så finns nu en ny rapport, ”</w:t>
      </w:r>
      <w:r w:rsidRPr="002955D3">
        <w:rPr>
          <w:b/>
          <w:bCs/>
        </w:rPr>
        <w:t>Varaktig serie/nr</w:t>
      </w:r>
      <w:r w:rsidRPr="002955D3">
        <w:t>”. När denna rapports körs visas både verifikationsnumret och det varaktiga serienumret. Rapporten kan sedan exporteras i olika format. Vi rekommenderar att rapportalternativet ”</w:t>
      </w:r>
      <w:r w:rsidRPr="002955D3">
        <w:rPr>
          <w:b/>
          <w:bCs/>
        </w:rPr>
        <w:t>Visas uppdelat per verifikatserie</w:t>
      </w:r>
      <w:r w:rsidRPr="002955D3">
        <w:t>” används eftersom verifikationerna då visas per verifikationsserie och med en verifikations per rad.</w:t>
      </w:r>
    </w:p>
    <w:p w14:paraId="070C6745" w14:textId="77777777" w:rsidR="00120F24" w:rsidRPr="009A20DF" w:rsidRDefault="00120F24" w:rsidP="00120F24"/>
    <w:p w14:paraId="01E286DB" w14:textId="77777777" w:rsidR="00120F24" w:rsidRDefault="00120F24" w:rsidP="00120F24">
      <w:r>
        <w:rPr>
          <w:noProof/>
          <w14:ligatures w14:val="none"/>
        </w:rPr>
        <w:drawing>
          <wp:inline distT="0" distB="0" distL="0" distR="0" wp14:anchorId="2CB7EBAB" wp14:editId="26D8D883">
            <wp:extent cx="2419350" cy="2190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19350" cy="2190750"/>
                    </a:xfrm>
                    <a:prstGeom prst="rect">
                      <a:avLst/>
                    </a:prstGeom>
                  </pic:spPr>
                </pic:pic>
              </a:graphicData>
            </a:graphic>
          </wp:inline>
        </w:drawing>
      </w:r>
    </w:p>
    <w:p w14:paraId="6A5C294B" w14:textId="77777777" w:rsidR="00120F24" w:rsidRDefault="00120F24" w:rsidP="00120F24">
      <w:r>
        <w:rPr>
          <w:noProof/>
          <w14:ligatures w14:val="none"/>
        </w:rPr>
        <w:drawing>
          <wp:inline distT="0" distB="0" distL="0" distR="0" wp14:anchorId="67F6E7D0" wp14:editId="062808AF">
            <wp:extent cx="5731510" cy="291973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919730"/>
                    </a:xfrm>
                    <a:prstGeom prst="rect">
                      <a:avLst/>
                    </a:prstGeom>
                  </pic:spPr>
                </pic:pic>
              </a:graphicData>
            </a:graphic>
          </wp:inline>
        </w:drawing>
      </w:r>
    </w:p>
    <w:p w14:paraId="6CA902C1" w14:textId="77777777" w:rsidR="00120F24" w:rsidRDefault="00120F24" w:rsidP="00120F24"/>
    <w:p w14:paraId="2ADB9529" w14:textId="77777777" w:rsidR="00120F24" w:rsidRPr="008B3C86" w:rsidRDefault="00120F24" w:rsidP="00120F24">
      <w:pPr>
        <w:pStyle w:val="Heading2"/>
      </w:pPr>
      <w:r>
        <w:t xml:space="preserve">Möjlighet att ändra slutdatum på ett räkenskapsår efter </w:t>
      </w:r>
      <w:proofErr w:type="spellStart"/>
      <w:r>
        <w:t>serialisering</w:t>
      </w:r>
      <w:proofErr w:type="spellEnd"/>
      <w:r>
        <w:t xml:space="preserve"> av det varaktiga serienumret</w:t>
      </w:r>
    </w:p>
    <w:p w14:paraId="44F600DD" w14:textId="77777777" w:rsidR="00120F24" w:rsidRDefault="00120F24" w:rsidP="00120F24">
      <w:r>
        <w:t>Om ett räkenskapsår har stängts och det varaktiga serienumret därmed har tilldelats alla affärstransaktioner är det nu ändå möjligt att ändra slutdatum för räkenskapsåret om året öppnas upp på nytt och följande kriterier uppfylls:</w:t>
      </w:r>
    </w:p>
    <w:p w14:paraId="2C8BF641" w14:textId="77777777" w:rsidR="00120F24" w:rsidRPr="00EB6DC7" w:rsidRDefault="00120F24" w:rsidP="00120F24">
      <w:pPr>
        <w:rPr>
          <w:lang w:val="en-SE"/>
        </w:rPr>
      </w:pPr>
      <w:r w:rsidRPr="00776D53">
        <w:rPr>
          <w:b/>
          <w:bCs/>
          <w:i/>
          <w:iCs/>
        </w:rPr>
        <w:t xml:space="preserve">Om räkenskapsåret </w:t>
      </w:r>
      <w:r w:rsidRPr="00776D53">
        <w:rPr>
          <w:b/>
          <w:bCs/>
          <w:i/>
          <w:iCs/>
          <w:u w:val="single"/>
        </w:rPr>
        <w:t>minskas</w:t>
      </w:r>
      <w:r w:rsidRPr="00537E1A">
        <w:t xml:space="preserve"> (slutdatum </w:t>
      </w:r>
      <w:r>
        <w:t xml:space="preserve">flyttas </w:t>
      </w:r>
      <w:r w:rsidRPr="00537E1A">
        <w:t xml:space="preserve">längre bak i tiden) </w:t>
      </w:r>
      <w:r>
        <w:t xml:space="preserve">- </w:t>
      </w:r>
      <w:r w:rsidRPr="00537E1A">
        <w:t>får inte perioden som ”dras av från ett</w:t>
      </w:r>
      <w:r>
        <w:t xml:space="preserve"> </w:t>
      </w:r>
      <w:r w:rsidRPr="00537E1A">
        <w:t>räkenskapsår innehålla verifikationer med det varaktiga serienumret.</w:t>
      </w:r>
    </w:p>
    <w:p w14:paraId="1072D889" w14:textId="77777777" w:rsidR="00120F24" w:rsidRPr="00776D53" w:rsidRDefault="00120F24" w:rsidP="00120F24">
      <w:pPr>
        <w:rPr>
          <w:lang w:val="en-SE"/>
        </w:rPr>
      </w:pPr>
      <w:r w:rsidRPr="00776D53">
        <w:rPr>
          <w:b/>
          <w:bCs/>
          <w:i/>
          <w:iCs/>
        </w:rPr>
        <w:t xml:space="preserve">Om räkenskapsåret </w:t>
      </w:r>
      <w:r w:rsidRPr="00776D53">
        <w:rPr>
          <w:b/>
          <w:bCs/>
          <w:i/>
          <w:iCs/>
          <w:u w:val="single"/>
        </w:rPr>
        <w:t>förlängs</w:t>
      </w:r>
      <w:r w:rsidRPr="00537E1A">
        <w:t xml:space="preserve"> </w:t>
      </w:r>
      <w:r>
        <w:t xml:space="preserve">- </w:t>
      </w:r>
      <w:r w:rsidRPr="00537E1A">
        <w:t>får inte den förlängda perioden överlappa med eventuellt nästa räkenskapsår.</w:t>
      </w:r>
    </w:p>
    <w:p w14:paraId="20E9A6BC" w14:textId="77777777" w:rsidR="00120F24" w:rsidRPr="00385FBD" w:rsidRDefault="00120F24" w:rsidP="00120F24">
      <w:r>
        <w:t xml:space="preserve">Ändringen görs via </w:t>
      </w:r>
      <w:proofErr w:type="gramStart"/>
      <w:r w:rsidRPr="001B6BF2">
        <w:rPr>
          <w:b/>
          <w:bCs/>
        </w:rPr>
        <w:t>Administration &gt;</w:t>
      </w:r>
      <w:proofErr w:type="gramEnd"/>
      <w:r w:rsidRPr="001B6BF2">
        <w:rPr>
          <w:b/>
          <w:bCs/>
        </w:rPr>
        <w:t xml:space="preserve"> Uppgifter om bokföringen &gt; Räkenskapsår</w:t>
      </w:r>
      <w:r>
        <w:t xml:space="preserve"> och med knappen ”</w:t>
      </w:r>
      <w:r w:rsidRPr="001B6BF2">
        <w:rPr>
          <w:b/>
          <w:bCs/>
        </w:rPr>
        <w:t>Ändra slutdatum</w:t>
      </w:r>
      <w:r>
        <w:t>”.</w:t>
      </w:r>
    </w:p>
    <w:p w14:paraId="3EAE3F28" w14:textId="77777777" w:rsidR="00120F24" w:rsidRDefault="00120F24" w:rsidP="00120F24">
      <w:pPr>
        <w:spacing w:after="0"/>
        <w:rPr>
          <w:rFonts w:ascii="Fabrik" w:eastAsiaTheme="majorEastAsia" w:hAnsi="Fabrik" w:cstheme="minorHAnsi"/>
          <w:b/>
          <w:bCs/>
          <w:color w:val="808080" w:themeColor="background1" w:themeShade="80"/>
          <w:sz w:val="36"/>
          <w:szCs w:val="36"/>
        </w:rPr>
      </w:pPr>
    </w:p>
    <w:p w14:paraId="3DB9B899" w14:textId="77777777" w:rsidR="00120F24" w:rsidRDefault="00120F24" w:rsidP="00120F24">
      <w:pPr>
        <w:pStyle w:val="Heading2"/>
      </w:pPr>
      <w:r>
        <w:t>Behandlingshistoriken blir tillgänglig</w:t>
      </w:r>
    </w:p>
    <w:p w14:paraId="18EBA1F9" w14:textId="77777777" w:rsidR="00120F24" w:rsidRDefault="00120F24" w:rsidP="00120F24">
      <w:r>
        <w:t xml:space="preserve">Från och med denna version slutförs projektet med behandlingshistoriken och därmed behövs inte längre specialrättigheten för detta. </w:t>
      </w:r>
    </w:p>
    <w:p w14:paraId="22B17F83" w14:textId="77777777" w:rsidR="00120F24" w:rsidRDefault="00120F24" w:rsidP="00120F24">
      <w:r>
        <w:t xml:space="preserve">Nu kan alla som har behörighet att se vyn för </w:t>
      </w:r>
      <w:r w:rsidRPr="00B56554">
        <w:rPr>
          <w:b/>
          <w:bCs/>
        </w:rPr>
        <w:t>Användare och användarbehörigheter</w:t>
      </w:r>
      <w:r>
        <w:t xml:space="preserve"> (hittas via </w:t>
      </w:r>
      <w:proofErr w:type="gramStart"/>
      <w:r w:rsidRPr="00104816">
        <w:rPr>
          <w:b/>
          <w:bCs/>
        </w:rPr>
        <w:t>Administration &gt;</w:t>
      </w:r>
      <w:proofErr w:type="gramEnd"/>
      <w:r w:rsidRPr="00104816">
        <w:rPr>
          <w:b/>
          <w:bCs/>
        </w:rPr>
        <w:t xml:space="preserve"> Användare och användarbehörigheter</w:t>
      </w:r>
      <w:r>
        <w:t xml:space="preserve">) se vilka som har behörighet för </w:t>
      </w:r>
      <w:r w:rsidRPr="00B56554">
        <w:rPr>
          <w:b/>
          <w:bCs/>
        </w:rPr>
        <w:t>Behandlingshistoriken</w:t>
      </w:r>
      <w:r>
        <w:t>. De som har ”</w:t>
      </w:r>
      <w:r w:rsidRPr="005F52D2">
        <w:rPr>
          <w:b/>
          <w:bCs/>
        </w:rPr>
        <w:t>Full behörighet</w:t>
      </w:r>
      <w:r>
        <w:t xml:space="preserve">” för Behandlingshistoriken kan nu söka, se och exportera behandlingshistoriken. </w:t>
      </w:r>
    </w:p>
    <w:p w14:paraId="0E7584F5" w14:textId="77777777" w:rsidR="00120F24" w:rsidRDefault="00120F24" w:rsidP="00120F24">
      <w:r>
        <w:rPr>
          <w:noProof/>
          <w14:ligatures w14:val="none"/>
        </w:rPr>
        <w:drawing>
          <wp:inline distT="0" distB="0" distL="0" distR="0" wp14:anchorId="48E1C730" wp14:editId="18A35D53">
            <wp:extent cx="3476625" cy="3211398"/>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84093" cy="3218296"/>
                    </a:xfrm>
                    <a:prstGeom prst="rect">
                      <a:avLst/>
                    </a:prstGeom>
                  </pic:spPr>
                </pic:pic>
              </a:graphicData>
            </a:graphic>
          </wp:inline>
        </w:drawing>
      </w:r>
    </w:p>
    <w:p w14:paraId="4D7A5F9A" w14:textId="77777777" w:rsidR="00120F24" w:rsidRDefault="00120F24" w:rsidP="00120F24">
      <w:r>
        <w:t xml:space="preserve">Själva behandlingshistoriken hittar man via </w:t>
      </w:r>
      <w:proofErr w:type="gramStart"/>
      <w:r w:rsidRPr="00A616A7">
        <w:rPr>
          <w:b/>
          <w:bCs/>
        </w:rPr>
        <w:t>Administration &gt;</w:t>
      </w:r>
      <w:proofErr w:type="gramEnd"/>
      <w:r w:rsidRPr="00A616A7">
        <w:rPr>
          <w:b/>
          <w:bCs/>
        </w:rPr>
        <w:t xml:space="preserve"> Behandlingshistorik</w:t>
      </w:r>
      <w:r>
        <w:t xml:space="preserve"> och sedan väljer man vad som skall visas under visningsalternativ. Knapp för export, både i </w:t>
      </w:r>
      <w:proofErr w:type="spellStart"/>
      <w:r>
        <w:t>csv</w:t>
      </w:r>
      <w:proofErr w:type="spellEnd"/>
      <w:r>
        <w:t xml:space="preserve">- och </w:t>
      </w:r>
      <w:proofErr w:type="spellStart"/>
      <w:r>
        <w:t>pdf-format</w:t>
      </w:r>
      <w:proofErr w:type="spellEnd"/>
      <w:r>
        <w:t>, finns.</w:t>
      </w:r>
    </w:p>
    <w:p w14:paraId="6AB2846A" w14:textId="77777777" w:rsidR="00120F24" w:rsidRDefault="00120F24" w:rsidP="00120F24">
      <w:r>
        <w:rPr>
          <w:noProof/>
          <w14:ligatures w14:val="none"/>
        </w:rPr>
        <w:drawing>
          <wp:inline distT="0" distB="0" distL="0" distR="0" wp14:anchorId="4E3FE74F" wp14:editId="04999759">
            <wp:extent cx="5731510" cy="335534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355340"/>
                    </a:xfrm>
                    <a:prstGeom prst="rect">
                      <a:avLst/>
                    </a:prstGeom>
                  </pic:spPr>
                </pic:pic>
              </a:graphicData>
            </a:graphic>
          </wp:inline>
        </w:drawing>
      </w:r>
    </w:p>
    <w:p w14:paraId="5D8EBECE" w14:textId="77777777" w:rsidR="00120F24" w:rsidRDefault="00120F24" w:rsidP="00120F24"/>
    <w:p w14:paraId="483ADF0B" w14:textId="77777777" w:rsidR="00120F24" w:rsidRDefault="00120F24" w:rsidP="00120F24"/>
    <w:p w14:paraId="158B8CA7" w14:textId="77777777" w:rsidR="00120F24" w:rsidRPr="00CA09B5" w:rsidRDefault="00120F24" w:rsidP="00120F24"/>
    <w:p w14:paraId="69E25F1B" w14:textId="0FAD5243" w:rsidR="00360900" w:rsidRPr="00FB78FF" w:rsidRDefault="00000000" w:rsidP="00FB78FF">
      <w:pPr>
        <w:ind w:left="-284" w:right="-284"/>
        <w:rPr>
          <w:rFonts w:ascii="Fabrik" w:hAnsi="Fabrik"/>
          <w:lang w:val="en-US"/>
        </w:rPr>
      </w:pPr>
      <w:r>
        <w:rPr>
          <w:rFonts w:ascii="Fabrik" w:hAnsi="Fabrik"/>
          <w:lang w:val="en-US"/>
        </w:rPr>
        <w:pict w14:anchorId="1A9ADC54">
          <v:rect id="_x0000_i1025" style="width:453.6pt;height:1.5pt;mso-position-horizontal:absolute" o:hralign="center" o:hrstd="t" o:hrnoshade="t" o:hr="t" fillcolor="#dcd1f4" stroked="f"/>
        </w:pict>
      </w:r>
    </w:p>
    <w:p w14:paraId="3BC286E7" w14:textId="77777777" w:rsidR="00120F24" w:rsidRPr="004A075D" w:rsidRDefault="00120F24" w:rsidP="00120F24">
      <w:pPr>
        <w:keepNext/>
        <w:keepLines/>
        <w:spacing w:before="240" w:after="0"/>
        <w:outlineLvl w:val="0"/>
        <w:rPr>
          <w:rFonts w:asciiTheme="majorHAnsi" w:eastAsiaTheme="majorEastAsia" w:hAnsiTheme="majorHAnsi" w:cstheme="majorBidi"/>
          <w:color w:val="2F5496" w:themeColor="accent1" w:themeShade="BF"/>
          <w:sz w:val="32"/>
          <w:szCs w:val="32"/>
          <w:lang w:val="en-US"/>
        </w:rPr>
      </w:pPr>
      <w:r w:rsidRPr="004A075D">
        <w:rPr>
          <w:rFonts w:asciiTheme="majorHAnsi" w:eastAsiaTheme="majorEastAsia" w:hAnsiTheme="majorHAnsi" w:cstheme="majorBidi"/>
          <w:color w:val="2F5496" w:themeColor="accent1" w:themeShade="BF"/>
          <w:sz w:val="32"/>
          <w:szCs w:val="32"/>
          <w:lang w:val="en-US"/>
        </w:rPr>
        <w:t xml:space="preserve">PROCOUNTOR VERSIONS RELEASE 88.0 </w:t>
      </w:r>
    </w:p>
    <w:p w14:paraId="30BE114E" w14:textId="77777777" w:rsidR="00120F24" w:rsidRPr="004A075D" w:rsidRDefault="00120F24" w:rsidP="00120F24">
      <w:pPr>
        <w:keepNext/>
        <w:keepLines/>
        <w:spacing w:before="240" w:after="0"/>
        <w:outlineLvl w:val="0"/>
        <w:rPr>
          <w:rFonts w:asciiTheme="majorHAnsi" w:eastAsiaTheme="majorEastAsia" w:hAnsiTheme="majorHAnsi" w:cstheme="majorBidi"/>
          <w:color w:val="2F5496" w:themeColor="accent1" w:themeShade="BF"/>
          <w:sz w:val="32"/>
          <w:szCs w:val="32"/>
          <w:lang w:val="en-US"/>
        </w:rPr>
      </w:pPr>
    </w:p>
    <w:p w14:paraId="06AA9875" w14:textId="77777777" w:rsidR="00120F24" w:rsidRPr="004A075D" w:rsidRDefault="00120F24" w:rsidP="00120F24">
      <w:pPr>
        <w:spacing w:after="0"/>
        <w:rPr>
          <w:rStyle w:val="Heading2Char"/>
          <w:rFonts w:cstheme="minorHAnsi"/>
          <w:lang w:val="en-US"/>
        </w:rPr>
      </w:pPr>
      <w:r w:rsidRPr="004A075D">
        <w:rPr>
          <w:rStyle w:val="Heading2Char"/>
          <w:rFonts w:cstheme="minorHAnsi"/>
          <w:lang w:val="en-US"/>
        </w:rPr>
        <w:t xml:space="preserve">Ability to change new widget "Procountor </w:t>
      </w:r>
      <w:proofErr w:type="gramStart"/>
      <w:r w:rsidRPr="004A075D">
        <w:rPr>
          <w:rStyle w:val="Heading2Char"/>
          <w:rFonts w:cstheme="minorHAnsi"/>
          <w:lang w:val="en-US"/>
        </w:rPr>
        <w:t>Store</w:t>
      </w:r>
      <w:proofErr w:type="gramEnd"/>
      <w:r w:rsidRPr="004A075D">
        <w:rPr>
          <w:rStyle w:val="Heading2Char"/>
          <w:rFonts w:cstheme="minorHAnsi"/>
          <w:lang w:val="en-US"/>
        </w:rPr>
        <w:t>"</w:t>
      </w:r>
    </w:p>
    <w:p w14:paraId="59A7800B" w14:textId="77777777" w:rsidR="00120F24" w:rsidRPr="004A075D" w:rsidRDefault="00120F24" w:rsidP="00120F24">
      <w:pPr>
        <w:rPr>
          <w:lang w:val="en-US"/>
        </w:rPr>
      </w:pPr>
      <w:r w:rsidRPr="004A075D">
        <w:rPr>
          <w:lang w:val="en-US"/>
        </w:rPr>
        <w:t xml:space="preserve">Our new "Procountor Store" widget, which was previously </w:t>
      </w:r>
      <w:r>
        <w:rPr>
          <w:lang w:val="en-US"/>
        </w:rPr>
        <w:t xml:space="preserve">non </w:t>
      </w:r>
      <w:r w:rsidRPr="004A075D">
        <w:rPr>
          <w:lang w:val="en-US"/>
        </w:rPr>
        <w:t>editable, is now both moveable and disable.</w:t>
      </w:r>
    </w:p>
    <w:p w14:paraId="09E8010A" w14:textId="77777777" w:rsidR="00120F24" w:rsidRPr="004A075D" w:rsidRDefault="00120F24" w:rsidP="00120F24">
      <w:pPr>
        <w:rPr>
          <w:lang w:val="en-US"/>
        </w:rPr>
      </w:pPr>
    </w:p>
    <w:p w14:paraId="247C8459" w14:textId="77777777" w:rsidR="00120F24" w:rsidRPr="004A075D" w:rsidRDefault="00120F24" w:rsidP="00120F24">
      <w:pPr>
        <w:pStyle w:val="Heading2"/>
        <w:rPr>
          <w:lang w:val="en-US"/>
        </w:rPr>
      </w:pPr>
      <w:r w:rsidRPr="004A075D">
        <w:rPr>
          <w:lang w:val="en-US"/>
        </w:rPr>
        <w:t xml:space="preserve">Report exports </w:t>
      </w:r>
    </w:p>
    <w:p w14:paraId="57EE0826" w14:textId="77777777" w:rsidR="00120F24" w:rsidRPr="004A075D" w:rsidRDefault="00120F24" w:rsidP="00120F24">
      <w:pPr>
        <w:rPr>
          <w:b/>
          <w:bCs/>
          <w:lang w:val="en-US"/>
        </w:rPr>
      </w:pPr>
      <w:r w:rsidRPr="004A075D">
        <w:rPr>
          <w:rStyle w:val="Strong"/>
          <w:lang w:val="en-US"/>
        </w:rPr>
        <w:t>In Sweden these reports have gotten a new name (or are new) on the exports:</w:t>
      </w:r>
    </w:p>
    <w:p w14:paraId="61BB6E06" w14:textId="77777777" w:rsidR="00120F24" w:rsidRPr="004A075D" w:rsidRDefault="00120F24" w:rsidP="00120F24">
      <w:pPr>
        <w:pStyle w:val="ListParagraph"/>
        <w:numPr>
          <w:ilvl w:val="0"/>
          <w:numId w:val="13"/>
        </w:numPr>
        <w:rPr>
          <w:lang w:val="en-US"/>
        </w:rPr>
      </w:pPr>
      <w:r w:rsidRPr="004A075D">
        <w:rPr>
          <w:b/>
          <w:bCs/>
          <w:lang w:val="en-US"/>
        </w:rPr>
        <w:t>General journal</w:t>
      </w:r>
      <w:r w:rsidRPr="004A075D">
        <w:rPr>
          <w:lang w:val="en-US"/>
        </w:rPr>
        <w:t xml:space="preserve"> (previous Swedish name: </w:t>
      </w:r>
      <w:proofErr w:type="spellStart"/>
      <w:r w:rsidRPr="004A075D">
        <w:rPr>
          <w:lang w:val="en-US"/>
        </w:rPr>
        <w:t>Dagbok</w:t>
      </w:r>
      <w:proofErr w:type="spellEnd"/>
      <w:r w:rsidRPr="004A075D">
        <w:rPr>
          <w:lang w:val="en-US"/>
        </w:rPr>
        <w:t>)</w:t>
      </w:r>
    </w:p>
    <w:p w14:paraId="6E78BC4F" w14:textId="77777777" w:rsidR="00120F24" w:rsidRPr="004A075D" w:rsidRDefault="00120F24" w:rsidP="00120F24">
      <w:pPr>
        <w:pStyle w:val="ListParagraph"/>
        <w:numPr>
          <w:ilvl w:val="0"/>
          <w:numId w:val="13"/>
        </w:numPr>
      </w:pPr>
      <w:proofErr w:type="spellStart"/>
      <w:r w:rsidRPr="004A075D">
        <w:rPr>
          <w:b/>
          <w:bCs/>
        </w:rPr>
        <w:t>Transactions</w:t>
      </w:r>
      <w:proofErr w:type="spellEnd"/>
      <w:r w:rsidRPr="004A075D">
        <w:rPr>
          <w:b/>
          <w:bCs/>
        </w:rPr>
        <w:t xml:space="preserve"> by dimensions</w:t>
      </w:r>
      <w:r w:rsidRPr="004A075D">
        <w:t xml:space="preserve"> (</w:t>
      </w:r>
      <w:proofErr w:type="spellStart"/>
      <w:r w:rsidRPr="004A075D">
        <w:t>previous</w:t>
      </w:r>
      <w:proofErr w:type="spellEnd"/>
      <w:r w:rsidRPr="004A075D">
        <w:t xml:space="preserve"> Swedish </w:t>
      </w:r>
      <w:proofErr w:type="spellStart"/>
      <w:r w:rsidRPr="004A075D">
        <w:t>name</w:t>
      </w:r>
      <w:proofErr w:type="spellEnd"/>
      <w:r w:rsidRPr="004A075D">
        <w:t>: Transaktioner enligt dimensioner)</w:t>
      </w:r>
    </w:p>
    <w:p w14:paraId="28DD24A0" w14:textId="77777777" w:rsidR="00120F24" w:rsidRPr="004A075D" w:rsidRDefault="00120F24" w:rsidP="00120F24">
      <w:pPr>
        <w:pStyle w:val="ListParagraph"/>
        <w:numPr>
          <w:ilvl w:val="0"/>
          <w:numId w:val="13"/>
        </w:numPr>
        <w:rPr>
          <w:lang w:val="en-US"/>
        </w:rPr>
      </w:pPr>
      <w:proofErr w:type="spellStart"/>
      <w:r w:rsidRPr="004A075D">
        <w:rPr>
          <w:rStyle w:val="Strong"/>
          <w:lang w:val="en-US"/>
        </w:rPr>
        <w:t>Saldolista</w:t>
      </w:r>
      <w:proofErr w:type="spellEnd"/>
      <w:r w:rsidRPr="004A075D">
        <w:rPr>
          <w:lang w:val="en-US"/>
        </w:rPr>
        <w:t xml:space="preserve"> (new report since the report names was changed)</w:t>
      </w:r>
    </w:p>
    <w:p w14:paraId="46D2E6C4" w14:textId="77777777" w:rsidR="00120F24" w:rsidRPr="004A075D" w:rsidRDefault="00120F24" w:rsidP="00120F24">
      <w:pPr>
        <w:rPr>
          <w:lang w:val="en-US"/>
        </w:rPr>
      </w:pPr>
    </w:p>
    <w:p w14:paraId="23EBC279" w14:textId="77777777" w:rsidR="00120F24" w:rsidRPr="004A075D" w:rsidRDefault="00120F24" w:rsidP="00120F24">
      <w:pPr>
        <w:spacing w:after="0"/>
        <w:rPr>
          <w:rStyle w:val="Heading2Char"/>
          <w:rFonts w:cstheme="minorHAnsi"/>
          <w:lang w:val="en-US"/>
        </w:rPr>
      </w:pPr>
      <w:r w:rsidRPr="004A075D">
        <w:rPr>
          <w:rStyle w:val="Heading2Char"/>
          <w:rFonts w:cstheme="minorHAnsi"/>
          <w:lang w:val="en-US"/>
        </w:rPr>
        <w:t>The logic on the accounting view for purchase invoices changes</w:t>
      </w:r>
    </w:p>
    <w:p w14:paraId="26906A8F" w14:textId="77777777" w:rsidR="00120F24" w:rsidRPr="004A075D" w:rsidRDefault="00120F24" w:rsidP="00120F24">
      <w:pPr>
        <w:rPr>
          <w:lang w:val="en-US"/>
        </w:rPr>
      </w:pPr>
      <w:r w:rsidRPr="004A075D">
        <w:rPr>
          <w:lang w:val="en-US"/>
        </w:rPr>
        <w:t xml:space="preserve">The logic concerning the vat percent on the accounting view for purchase invoices' is now the same as it is on journals and bank statements. This means that when the VAT percentage changes, the value in </w:t>
      </w:r>
      <w:proofErr w:type="gramStart"/>
      <w:r w:rsidRPr="004A075D">
        <w:rPr>
          <w:b/>
          <w:bCs/>
          <w:lang w:val="en-US"/>
        </w:rPr>
        <w:t>Accounting</w:t>
      </w:r>
      <w:proofErr w:type="gramEnd"/>
      <w:r w:rsidRPr="004A075D">
        <w:rPr>
          <w:lang w:val="en-US"/>
        </w:rPr>
        <w:t xml:space="preserve"> remains the same. However, the value in </w:t>
      </w:r>
      <w:r w:rsidRPr="004A075D">
        <w:rPr>
          <w:b/>
          <w:bCs/>
          <w:lang w:val="en-US"/>
        </w:rPr>
        <w:t xml:space="preserve">Total </w:t>
      </w:r>
      <w:r w:rsidRPr="004A075D">
        <w:rPr>
          <w:lang w:val="en-US"/>
        </w:rPr>
        <w:t>is adjusted according to the amount and the VAT percentage.</w:t>
      </w:r>
    </w:p>
    <w:p w14:paraId="0D54B82F" w14:textId="77777777" w:rsidR="00120F24" w:rsidRPr="004A075D" w:rsidRDefault="00120F24" w:rsidP="00120F24">
      <w:r w:rsidRPr="004A075D">
        <w:rPr>
          <w:noProof/>
          <w14:ligatures w14:val="none"/>
        </w:rPr>
        <w:drawing>
          <wp:inline distT="0" distB="0" distL="0" distR="0" wp14:anchorId="58E45A48" wp14:editId="4B685A91">
            <wp:extent cx="5731510" cy="32848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284855"/>
                    </a:xfrm>
                    <a:prstGeom prst="rect">
                      <a:avLst/>
                    </a:prstGeom>
                  </pic:spPr>
                </pic:pic>
              </a:graphicData>
            </a:graphic>
          </wp:inline>
        </w:drawing>
      </w:r>
    </w:p>
    <w:p w14:paraId="062A9A73" w14:textId="77777777" w:rsidR="00120F24" w:rsidRPr="004A075D" w:rsidRDefault="00120F24" w:rsidP="00120F24">
      <w:pPr>
        <w:pStyle w:val="Heading2"/>
      </w:pPr>
    </w:p>
    <w:p w14:paraId="2B73EA2C" w14:textId="77777777" w:rsidR="00120F24" w:rsidRPr="004A075D" w:rsidRDefault="00120F24" w:rsidP="00120F24">
      <w:pPr>
        <w:pStyle w:val="Heading2"/>
        <w:rPr>
          <w:lang w:val="en-US"/>
        </w:rPr>
      </w:pPr>
      <w:hyperlink r:id="rId19" w:history="1">
        <w:r w:rsidRPr="004A075D">
          <w:rPr>
            <w:rStyle w:val="Hyperlink"/>
            <w:lang w:val="en-US"/>
          </w:rPr>
          <w:t>Help center button icon</w:t>
        </w:r>
      </w:hyperlink>
    </w:p>
    <w:p w14:paraId="18EB5CE6" w14:textId="77777777" w:rsidR="00120F24" w:rsidRPr="004A075D" w:rsidRDefault="00120F24" w:rsidP="00120F24">
      <w:pPr>
        <w:rPr>
          <w:lang w:val="en-US"/>
        </w:rPr>
      </w:pPr>
      <w:r w:rsidRPr="004A075D">
        <w:rPr>
          <w:lang w:val="en-US"/>
        </w:rPr>
        <w:t>Improvements to the Help Center button have been made so if an Intercom message is open the Help Center button and a drop-down menu appears, and when the message is closed, it changes back to the Help Center icon.</w:t>
      </w:r>
    </w:p>
    <w:p w14:paraId="18579EE7" w14:textId="77777777" w:rsidR="00120F24" w:rsidRPr="004A075D" w:rsidRDefault="00120F24" w:rsidP="00120F24">
      <w:pPr>
        <w:rPr>
          <w:lang w:val="en-US"/>
        </w:rPr>
      </w:pPr>
      <w:r w:rsidRPr="004A075D">
        <w:rPr>
          <w:noProof/>
          <w14:ligatures w14:val="none"/>
        </w:rPr>
        <w:drawing>
          <wp:anchor distT="0" distB="0" distL="114300" distR="114300" simplePos="0" relativeHeight="251659264" behindDoc="1" locked="0" layoutInCell="1" allowOverlap="1" wp14:anchorId="7D67416B" wp14:editId="7D45906A">
            <wp:simplePos x="0" y="0"/>
            <wp:positionH relativeFrom="column">
              <wp:posOffset>2981325</wp:posOffset>
            </wp:positionH>
            <wp:positionV relativeFrom="paragraph">
              <wp:posOffset>8255</wp:posOffset>
            </wp:positionV>
            <wp:extent cx="638175" cy="1205865"/>
            <wp:effectExtent l="0" t="0" r="9525" b="0"/>
            <wp:wrapTight wrapText="bothSides">
              <wp:wrapPolygon edited="0">
                <wp:start x="0" y="0"/>
                <wp:lineTo x="0" y="21156"/>
                <wp:lineTo x="21278" y="21156"/>
                <wp:lineTo x="212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38175" cy="1205865"/>
                    </a:xfrm>
                    <a:prstGeom prst="rect">
                      <a:avLst/>
                    </a:prstGeom>
                  </pic:spPr>
                </pic:pic>
              </a:graphicData>
            </a:graphic>
          </wp:anchor>
        </w:drawing>
      </w:r>
      <w:r w:rsidRPr="004A075D">
        <w:rPr>
          <w:lang w:val="en-US"/>
        </w:rPr>
        <w:t>Help center (standard)</w:t>
      </w:r>
    </w:p>
    <w:p w14:paraId="7477B1FF" w14:textId="77777777" w:rsidR="00120F24" w:rsidRPr="004A075D" w:rsidRDefault="00120F24" w:rsidP="00120F24">
      <w:pPr>
        <w:rPr>
          <w:lang w:val="en-US"/>
        </w:rPr>
      </w:pPr>
    </w:p>
    <w:p w14:paraId="2EF478AD" w14:textId="77777777" w:rsidR="00120F24" w:rsidRPr="004A075D" w:rsidRDefault="00120F24" w:rsidP="00120F24">
      <w:pPr>
        <w:rPr>
          <w:lang w:val="en-US"/>
        </w:rPr>
      </w:pPr>
    </w:p>
    <w:p w14:paraId="73C65432" w14:textId="77777777" w:rsidR="00120F24" w:rsidRPr="004A075D" w:rsidRDefault="00120F24" w:rsidP="00120F24">
      <w:pPr>
        <w:rPr>
          <w:lang w:val="en-US"/>
        </w:rPr>
      </w:pPr>
      <w:r w:rsidRPr="004A075D">
        <w:rPr>
          <w:lang w:val="en-US"/>
        </w:rPr>
        <w:t>Help center (message open)</w:t>
      </w:r>
    </w:p>
    <w:p w14:paraId="1A98E9B8" w14:textId="77777777" w:rsidR="00120F24" w:rsidRPr="004A075D" w:rsidRDefault="00120F24" w:rsidP="00120F24">
      <w:pPr>
        <w:rPr>
          <w:lang w:val="en-US"/>
        </w:rPr>
      </w:pPr>
    </w:p>
    <w:p w14:paraId="774AEC84" w14:textId="77777777" w:rsidR="00120F24" w:rsidRPr="004A075D" w:rsidRDefault="00120F24" w:rsidP="00120F24">
      <w:pPr>
        <w:rPr>
          <w:lang w:val="en-SE"/>
        </w:rPr>
      </w:pPr>
    </w:p>
    <w:p w14:paraId="10607865" w14:textId="77777777" w:rsidR="00120F24" w:rsidRPr="004A075D" w:rsidRDefault="00120F24" w:rsidP="00120F24">
      <w:pPr>
        <w:pStyle w:val="Heading2"/>
        <w:rPr>
          <w:lang w:val="en-US"/>
        </w:rPr>
      </w:pPr>
      <w:r w:rsidRPr="004A075D">
        <w:rPr>
          <w:lang w:val="en-US"/>
        </w:rPr>
        <w:t xml:space="preserve">Cost receipt management sorting order is </w:t>
      </w:r>
      <w:proofErr w:type="gramStart"/>
      <w:r w:rsidRPr="004A075D">
        <w:rPr>
          <w:lang w:val="en-US"/>
        </w:rPr>
        <w:t>changed</w:t>
      </w:r>
      <w:proofErr w:type="gramEnd"/>
    </w:p>
    <w:p w14:paraId="5FF778A8" w14:textId="77777777" w:rsidR="00120F24" w:rsidRPr="004A075D" w:rsidRDefault="00120F24" w:rsidP="00120F24">
      <w:pPr>
        <w:rPr>
          <w:lang w:val="en-US"/>
        </w:rPr>
      </w:pPr>
      <w:r w:rsidRPr="004A075D">
        <w:rPr>
          <w:lang w:val="en-US"/>
        </w:rPr>
        <w:t>Via</w:t>
      </w:r>
      <w:r w:rsidRPr="004A075D">
        <w:rPr>
          <w:b/>
          <w:bCs/>
          <w:lang w:val="en-US"/>
        </w:rPr>
        <w:t xml:space="preserve"> Cost receipt management</w:t>
      </w:r>
      <w:r w:rsidRPr="004A075D">
        <w:rPr>
          <w:lang w:val="en-US"/>
        </w:rPr>
        <w:t xml:space="preserve"> (</w:t>
      </w:r>
      <w:r w:rsidRPr="004A075D">
        <w:rPr>
          <w:b/>
          <w:bCs/>
          <w:lang w:val="en-US"/>
        </w:rPr>
        <w:t>Search &gt; Cost receipt management</w:t>
      </w:r>
      <w:r w:rsidRPr="004A075D">
        <w:rPr>
          <w:lang w:val="en-US"/>
        </w:rPr>
        <w:t xml:space="preserve">), when using the </w:t>
      </w:r>
      <w:r w:rsidRPr="004A075D">
        <w:rPr>
          <w:b/>
          <w:bCs/>
          <w:lang w:val="en-US"/>
        </w:rPr>
        <w:t>"Edit selected"</w:t>
      </w:r>
      <w:r w:rsidRPr="004A075D">
        <w:rPr>
          <w:lang w:val="en-US"/>
        </w:rPr>
        <w:t xml:space="preserve"> function, you have previously only been able to view marked receipts in date order. After this version update, it is now possible to sort the search results in the desired way, e.g., after "seller". The receipts are then displayed according to the order of the search result and not according to the date order.</w:t>
      </w:r>
    </w:p>
    <w:p w14:paraId="33DCA730" w14:textId="77777777" w:rsidR="00120F24" w:rsidRPr="004A075D" w:rsidRDefault="00120F24" w:rsidP="00120F24">
      <w:pPr>
        <w:spacing w:after="0" w:line="240" w:lineRule="auto"/>
        <w:rPr>
          <w:rFonts w:ascii="Segoe UI" w:eastAsia="Times New Roman" w:hAnsi="Segoe UI" w:cs="Segoe UI"/>
          <w:color w:val="172B4D"/>
          <w:kern w:val="0"/>
          <w:sz w:val="24"/>
          <w:szCs w:val="24"/>
          <w:lang w:val="en-SE" w:eastAsia="en-SE"/>
          <w14:ligatures w14:val="none"/>
        </w:rPr>
      </w:pPr>
      <w:r w:rsidRPr="004A075D">
        <w:rPr>
          <w:noProof/>
          <w14:ligatures w14:val="none"/>
        </w:rPr>
        <w:drawing>
          <wp:inline distT="0" distB="0" distL="0" distR="0" wp14:anchorId="70C23E19" wp14:editId="66D52E34">
            <wp:extent cx="5731510" cy="32213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221355"/>
                    </a:xfrm>
                    <a:prstGeom prst="rect">
                      <a:avLst/>
                    </a:prstGeom>
                  </pic:spPr>
                </pic:pic>
              </a:graphicData>
            </a:graphic>
          </wp:inline>
        </w:drawing>
      </w:r>
    </w:p>
    <w:p w14:paraId="3306B454" w14:textId="77777777" w:rsidR="00120F24" w:rsidRPr="004A075D" w:rsidRDefault="00120F24" w:rsidP="00120F24">
      <w:pPr>
        <w:spacing w:after="0" w:line="240" w:lineRule="auto"/>
        <w:rPr>
          <w:rFonts w:ascii="Segoe UI" w:eastAsia="Times New Roman" w:hAnsi="Segoe UI" w:cs="Segoe UI"/>
          <w:color w:val="172B4D"/>
          <w:kern w:val="0"/>
          <w:sz w:val="24"/>
          <w:szCs w:val="24"/>
          <w:lang w:val="en-SE" w:eastAsia="en-SE"/>
          <w14:ligatures w14:val="none"/>
        </w:rPr>
      </w:pPr>
    </w:p>
    <w:p w14:paraId="2340D6D4" w14:textId="77777777" w:rsidR="00120F24" w:rsidRPr="004A075D" w:rsidRDefault="00120F24" w:rsidP="00120F24">
      <w:pPr>
        <w:spacing w:after="0" w:line="240" w:lineRule="auto"/>
        <w:rPr>
          <w:rFonts w:ascii="Segoe UI" w:eastAsia="Times New Roman" w:hAnsi="Segoe UI" w:cs="Segoe UI"/>
          <w:color w:val="172B4D"/>
          <w:kern w:val="0"/>
          <w:sz w:val="24"/>
          <w:szCs w:val="24"/>
          <w:lang w:val="en-SE" w:eastAsia="en-SE"/>
          <w14:ligatures w14:val="none"/>
        </w:rPr>
      </w:pPr>
      <w:r w:rsidRPr="004A075D">
        <w:rPr>
          <w:noProof/>
          <w14:ligatures w14:val="none"/>
        </w:rPr>
        <w:drawing>
          <wp:inline distT="0" distB="0" distL="0" distR="0" wp14:anchorId="1B5A7B1A" wp14:editId="793151BC">
            <wp:extent cx="5731510" cy="2658745"/>
            <wp:effectExtent l="0" t="0" r="254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2658745"/>
                    </a:xfrm>
                    <a:prstGeom prst="rect">
                      <a:avLst/>
                    </a:prstGeom>
                  </pic:spPr>
                </pic:pic>
              </a:graphicData>
            </a:graphic>
          </wp:inline>
        </w:drawing>
      </w:r>
    </w:p>
    <w:p w14:paraId="097E5477" w14:textId="77777777" w:rsidR="00120F24" w:rsidRPr="004A075D" w:rsidRDefault="00120F24" w:rsidP="00120F24">
      <w:pPr>
        <w:rPr>
          <w:lang w:val="en-SE"/>
        </w:rPr>
      </w:pPr>
    </w:p>
    <w:p w14:paraId="4E7B1DB7" w14:textId="77777777" w:rsidR="00120F24" w:rsidRPr="004A075D" w:rsidRDefault="00120F24" w:rsidP="00120F24">
      <w:pPr>
        <w:pStyle w:val="Heading2"/>
        <w:rPr>
          <w:lang w:val="en-US"/>
        </w:rPr>
      </w:pPr>
      <w:r w:rsidRPr="004A075D">
        <w:rPr>
          <w:lang w:val="en-US"/>
        </w:rPr>
        <w:t>Traceability for normal receipt number in SIE exports</w:t>
      </w:r>
      <w:r w:rsidRPr="004A075D">
        <w:rPr>
          <w:rFonts w:eastAsia="Times New Roman"/>
          <w:lang w:val="en-SE" w:eastAsia="en-SE"/>
        </w:rPr>
        <w:br/>
        <w:t xml:space="preserve">For some months now, the </w:t>
      </w:r>
      <w:r w:rsidRPr="004A075D">
        <w:rPr>
          <w:lang w:val="en-US" w:eastAsia="en-SE"/>
        </w:rPr>
        <w:t xml:space="preserve">new </w:t>
      </w:r>
      <w:r w:rsidRPr="004A075D">
        <w:rPr>
          <w:rFonts w:eastAsia="Times New Roman"/>
          <w:lang w:val="en-SE" w:eastAsia="en-SE"/>
        </w:rPr>
        <w:t>serial number has been included in the SIE exports as a v</w:t>
      </w:r>
      <w:proofErr w:type="spellStart"/>
      <w:r w:rsidRPr="004A075D">
        <w:rPr>
          <w:lang w:val="en-US" w:eastAsia="en-SE"/>
        </w:rPr>
        <w:t>oucher</w:t>
      </w:r>
      <w:proofErr w:type="spellEnd"/>
      <w:r w:rsidRPr="004A075D">
        <w:rPr>
          <w:lang w:val="en-US" w:eastAsia="en-SE"/>
        </w:rPr>
        <w:t xml:space="preserve"> </w:t>
      </w:r>
      <w:r w:rsidRPr="004A075D">
        <w:rPr>
          <w:rFonts w:eastAsia="Times New Roman"/>
          <w:lang w:val="en-SE" w:eastAsia="en-SE"/>
        </w:rPr>
        <w:t>number. With this version update, the v</w:t>
      </w:r>
      <w:proofErr w:type="spellStart"/>
      <w:r w:rsidRPr="004A075D">
        <w:rPr>
          <w:lang w:val="en-US" w:eastAsia="en-SE"/>
        </w:rPr>
        <w:t>oucher</w:t>
      </w:r>
      <w:proofErr w:type="spellEnd"/>
      <w:r w:rsidRPr="004A075D">
        <w:rPr>
          <w:rFonts w:eastAsia="Times New Roman"/>
          <w:lang w:val="en-SE" w:eastAsia="en-SE"/>
        </w:rPr>
        <w:t xml:space="preserve"> number is added to each transaction.</w:t>
      </w:r>
    </w:p>
    <w:p w14:paraId="642FD011" w14:textId="77777777" w:rsidR="00120F24" w:rsidRPr="004A075D" w:rsidRDefault="00120F24" w:rsidP="00120F24">
      <w:pPr>
        <w:rPr>
          <w:lang w:val="en-US" w:eastAsia="en-SE"/>
        </w:rPr>
      </w:pPr>
      <w:r w:rsidRPr="004A075D">
        <w:rPr>
          <w:lang w:val="en-US" w:eastAsia="en-SE"/>
        </w:rPr>
        <w:t>Example:</w:t>
      </w:r>
    </w:p>
    <w:p w14:paraId="194E0D2C" w14:textId="77777777" w:rsidR="00120F24" w:rsidRPr="004A075D" w:rsidRDefault="00120F24" w:rsidP="00120F24">
      <w:pPr>
        <w:rPr>
          <w:lang w:val="en-US" w:eastAsia="en-SE"/>
        </w:rPr>
      </w:pPr>
      <w:r w:rsidRPr="004A075D">
        <w:rPr>
          <w:lang w:val="en-US" w:eastAsia="en-SE"/>
        </w:rPr>
        <w:t>Purchase invoice with voucher number (B) 774 looks like this in Procountor.</w:t>
      </w:r>
    </w:p>
    <w:p w14:paraId="625C0129" w14:textId="77777777" w:rsidR="00120F24" w:rsidRPr="004A075D" w:rsidRDefault="00120F24" w:rsidP="00120F24">
      <w:pPr>
        <w:rPr>
          <w:spacing w:val="-1"/>
          <w:sz w:val="21"/>
          <w:szCs w:val="21"/>
          <w:lang w:val="en-US"/>
        </w:rPr>
      </w:pPr>
      <w:r w:rsidRPr="004A075D">
        <w:rPr>
          <w:noProof/>
        </w:rPr>
        <w:drawing>
          <wp:inline distT="0" distB="0" distL="0" distR="0" wp14:anchorId="74198976" wp14:editId="12BB70ED">
            <wp:extent cx="5731510" cy="91630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916305"/>
                    </a:xfrm>
                    <a:prstGeom prst="rect">
                      <a:avLst/>
                    </a:prstGeom>
                  </pic:spPr>
                </pic:pic>
              </a:graphicData>
            </a:graphic>
          </wp:inline>
        </w:drawing>
      </w:r>
    </w:p>
    <w:p w14:paraId="7EA57A3A" w14:textId="77777777" w:rsidR="00120F24" w:rsidRPr="004A075D" w:rsidRDefault="00120F24" w:rsidP="00120F24">
      <w:pPr>
        <w:rPr>
          <w:spacing w:val="-1"/>
          <w:sz w:val="21"/>
          <w:szCs w:val="21"/>
          <w:lang w:val="en-US"/>
        </w:rPr>
      </w:pPr>
      <w:r w:rsidRPr="004A075D">
        <w:rPr>
          <w:spacing w:val="-1"/>
          <w:sz w:val="21"/>
          <w:szCs w:val="21"/>
          <w:lang w:val="en-US"/>
        </w:rPr>
        <w:t>And in the exported SIE file it is shown in this way.</w:t>
      </w:r>
    </w:p>
    <w:p w14:paraId="2D4EF856" w14:textId="77777777" w:rsidR="00120F24" w:rsidRPr="004A075D" w:rsidRDefault="00120F24" w:rsidP="00120F24">
      <w:pPr>
        <w:pStyle w:val="NormalWeb"/>
        <w:spacing w:after="0" w:afterAutospacing="0"/>
        <w:rPr>
          <w:rFonts w:ascii="Segoe UI" w:hAnsi="Segoe UI" w:cs="Segoe UI"/>
          <w:spacing w:val="-1"/>
          <w:sz w:val="21"/>
          <w:szCs w:val="21"/>
        </w:rPr>
      </w:pPr>
      <w:r w:rsidRPr="004A075D">
        <w:rPr>
          <w:noProof/>
        </w:rPr>
        <w:drawing>
          <wp:inline distT="0" distB="0" distL="0" distR="0" wp14:anchorId="3BE7EDB8" wp14:editId="4B977978">
            <wp:extent cx="3819525" cy="485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19525" cy="485775"/>
                    </a:xfrm>
                    <a:prstGeom prst="rect">
                      <a:avLst/>
                    </a:prstGeom>
                  </pic:spPr>
                </pic:pic>
              </a:graphicData>
            </a:graphic>
          </wp:inline>
        </w:drawing>
      </w:r>
    </w:p>
    <w:p w14:paraId="4999B90F" w14:textId="77777777" w:rsidR="00120F24" w:rsidRPr="004A075D" w:rsidRDefault="00120F24" w:rsidP="00120F24">
      <w:pPr>
        <w:rPr>
          <w:lang w:val="en-SE"/>
        </w:rPr>
      </w:pPr>
    </w:p>
    <w:p w14:paraId="295D48AC" w14:textId="77777777" w:rsidR="00120F24" w:rsidRPr="004A075D" w:rsidRDefault="00120F24" w:rsidP="00120F24">
      <w:pPr>
        <w:pStyle w:val="Heading2"/>
        <w:rPr>
          <w:lang w:val="en-US"/>
        </w:rPr>
      </w:pPr>
      <w:r w:rsidRPr="004A075D">
        <w:rPr>
          <w:lang w:val="en-US"/>
        </w:rPr>
        <w:t>New report for listing serial numbers (new series)</w:t>
      </w:r>
    </w:p>
    <w:p w14:paraId="7AB9A840" w14:textId="77777777" w:rsidR="00120F24" w:rsidRPr="004A075D" w:rsidRDefault="00120F24" w:rsidP="00120F24">
      <w:pPr>
        <w:rPr>
          <w:lang w:val="en-US"/>
        </w:rPr>
      </w:pPr>
      <w:r w:rsidRPr="004A075D">
        <w:rPr>
          <w:lang w:val="en-US"/>
        </w:rPr>
        <w:t xml:space="preserve">Via </w:t>
      </w:r>
      <w:r w:rsidRPr="004A075D">
        <w:rPr>
          <w:b/>
          <w:bCs/>
          <w:lang w:val="en-US"/>
        </w:rPr>
        <w:t>Accounting reports</w:t>
      </w:r>
      <w:r w:rsidRPr="004A075D">
        <w:rPr>
          <w:lang w:val="en-US"/>
        </w:rPr>
        <w:t xml:space="preserve"> (that is found either under </w:t>
      </w:r>
      <w:r w:rsidRPr="004A075D">
        <w:rPr>
          <w:b/>
          <w:bCs/>
          <w:lang w:val="en-US"/>
        </w:rPr>
        <w:t>Reports</w:t>
      </w:r>
      <w:r w:rsidRPr="004A075D">
        <w:rPr>
          <w:lang w:val="en-US"/>
        </w:rPr>
        <w:t xml:space="preserve"> or </w:t>
      </w:r>
      <w:r w:rsidRPr="004A075D">
        <w:rPr>
          <w:b/>
          <w:bCs/>
          <w:lang w:val="en-US"/>
        </w:rPr>
        <w:t xml:space="preserve">Accounting </w:t>
      </w:r>
      <w:r w:rsidRPr="004A075D">
        <w:rPr>
          <w:lang w:val="en-US"/>
        </w:rPr>
        <w:t>in the menu) a new report is available, “</w:t>
      </w:r>
      <w:r w:rsidRPr="004A075D">
        <w:rPr>
          <w:b/>
          <w:bCs/>
          <w:lang w:val="en-US"/>
        </w:rPr>
        <w:t>Serial number</w:t>
      </w:r>
      <w:r w:rsidRPr="004A075D">
        <w:rPr>
          <w:lang w:val="en-US"/>
        </w:rPr>
        <w:t>”. When running this report both receipt number and the new serial number is shown. The report can be exported in several formats. We recommend that the presentation type "</w:t>
      </w:r>
      <w:r w:rsidRPr="004A075D">
        <w:rPr>
          <w:b/>
          <w:bCs/>
          <w:lang w:val="en-US"/>
        </w:rPr>
        <w:t>By receipt</w:t>
      </w:r>
      <w:r w:rsidRPr="004A075D">
        <w:rPr>
          <w:lang w:val="en-US"/>
        </w:rPr>
        <w:t>" is used because the vouchers are then displayed per voucher series and with one voucher per row.</w:t>
      </w:r>
    </w:p>
    <w:p w14:paraId="3F78A12D" w14:textId="77777777" w:rsidR="00120F24" w:rsidRPr="004A075D" w:rsidRDefault="00120F24" w:rsidP="00120F24">
      <w:pPr>
        <w:rPr>
          <w:lang w:val="en-US"/>
        </w:rPr>
      </w:pPr>
      <w:r w:rsidRPr="004A075D">
        <w:rPr>
          <w:noProof/>
          <w14:ligatures w14:val="none"/>
        </w:rPr>
        <w:drawing>
          <wp:inline distT="0" distB="0" distL="0" distR="0" wp14:anchorId="0D1BD154" wp14:editId="7F3A4A18">
            <wp:extent cx="2428875" cy="2162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28875" cy="2162175"/>
                    </a:xfrm>
                    <a:prstGeom prst="rect">
                      <a:avLst/>
                    </a:prstGeom>
                  </pic:spPr>
                </pic:pic>
              </a:graphicData>
            </a:graphic>
          </wp:inline>
        </w:drawing>
      </w:r>
    </w:p>
    <w:p w14:paraId="11CC13FE" w14:textId="77777777" w:rsidR="00120F24" w:rsidRPr="004A075D" w:rsidRDefault="00120F24" w:rsidP="00120F24">
      <w:pPr>
        <w:rPr>
          <w:lang w:val="en-US"/>
        </w:rPr>
      </w:pPr>
      <w:r w:rsidRPr="004A075D">
        <w:rPr>
          <w:noProof/>
          <w14:ligatures w14:val="none"/>
        </w:rPr>
        <w:drawing>
          <wp:inline distT="0" distB="0" distL="0" distR="0" wp14:anchorId="7A397EF7" wp14:editId="0AC8BA80">
            <wp:extent cx="5731510" cy="2930525"/>
            <wp:effectExtent l="0" t="0" r="254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2930525"/>
                    </a:xfrm>
                    <a:prstGeom prst="rect">
                      <a:avLst/>
                    </a:prstGeom>
                  </pic:spPr>
                </pic:pic>
              </a:graphicData>
            </a:graphic>
          </wp:inline>
        </w:drawing>
      </w:r>
    </w:p>
    <w:p w14:paraId="5D27A62D" w14:textId="77777777" w:rsidR="00120F24" w:rsidRPr="004A075D" w:rsidRDefault="00120F24" w:rsidP="00120F24">
      <w:pPr>
        <w:rPr>
          <w:lang w:val="en-US"/>
        </w:rPr>
      </w:pPr>
    </w:p>
    <w:p w14:paraId="551F014F" w14:textId="77777777" w:rsidR="00120F24" w:rsidRPr="004A075D" w:rsidRDefault="00120F24" w:rsidP="00120F24">
      <w:pPr>
        <w:pStyle w:val="NormalWeb"/>
        <w:spacing w:after="0" w:afterAutospacing="0"/>
        <w:rPr>
          <w:rFonts w:ascii="Segoe UI" w:hAnsi="Segoe UI" w:cs="Segoe UI"/>
          <w:spacing w:val="-1"/>
          <w:sz w:val="21"/>
          <w:szCs w:val="21"/>
        </w:rPr>
      </w:pPr>
    </w:p>
    <w:p w14:paraId="2182224C" w14:textId="77777777" w:rsidR="00120F24" w:rsidRPr="004A075D" w:rsidRDefault="00120F24" w:rsidP="00120F24">
      <w:pPr>
        <w:pStyle w:val="Heading2"/>
        <w:rPr>
          <w:lang w:val="en-US"/>
        </w:rPr>
      </w:pPr>
      <w:r w:rsidRPr="004A075D">
        <w:rPr>
          <w:lang w:val="en-US"/>
        </w:rPr>
        <w:t xml:space="preserve">Possibility to change end date of financial year after serialization of new serial </w:t>
      </w:r>
      <w:proofErr w:type="gramStart"/>
      <w:r w:rsidRPr="004A075D">
        <w:rPr>
          <w:lang w:val="en-US"/>
        </w:rPr>
        <w:t>number</w:t>
      </w:r>
      <w:proofErr w:type="gramEnd"/>
    </w:p>
    <w:p w14:paraId="186A74FC" w14:textId="77777777" w:rsidR="00120F24" w:rsidRPr="004A075D" w:rsidRDefault="00120F24" w:rsidP="00120F24">
      <w:pPr>
        <w:rPr>
          <w:shd w:val="clear" w:color="auto" w:fill="FFFFFF"/>
          <w:lang w:val="en-US"/>
        </w:rPr>
      </w:pPr>
      <w:r w:rsidRPr="004A075D">
        <w:rPr>
          <w:shd w:val="clear" w:color="auto" w:fill="FFFFFF"/>
          <w:lang w:val="en-US"/>
        </w:rPr>
        <w:t>If a financial year has been closed and the permanent serial number has been assigned to all business transactions, it is now still possible to change the end date of the financial year if the year is reopened and the following criteria are met:</w:t>
      </w:r>
    </w:p>
    <w:p w14:paraId="4716A3F0" w14:textId="77777777" w:rsidR="00120F24" w:rsidRPr="004A075D" w:rsidRDefault="00120F24" w:rsidP="00120F24">
      <w:pPr>
        <w:rPr>
          <w:shd w:val="clear" w:color="auto" w:fill="FFFFFF"/>
          <w:lang w:val="en-US"/>
        </w:rPr>
      </w:pPr>
      <w:r w:rsidRPr="004A075D">
        <w:rPr>
          <w:b/>
          <w:bCs/>
          <w:i/>
          <w:iCs/>
          <w:shd w:val="clear" w:color="auto" w:fill="FFFFFF"/>
          <w:lang w:val="en-US"/>
        </w:rPr>
        <w:t xml:space="preserve">If the fiscal year is </w:t>
      </w:r>
      <w:r w:rsidRPr="004A075D">
        <w:rPr>
          <w:b/>
          <w:bCs/>
          <w:i/>
          <w:iCs/>
          <w:u w:val="single"/>
          <w:shd w:val="clear" w:color="auto" w:fill="FFFFFF"/>
          <w:lang w:val="en-US"/>
        </w:rPr>
        <w:t>reduced</w:t>
      </w:r>
      <w:r w:rsidRPr="004A075D">
        <w:rPr>
          <w:shd w:val="clear" w:color="auto" w:fill="FFFFFF"/>
          <w:lang w:val="en-US"/>
        </w:rPr>
        <w:t xml:space="preserve"> (the end date is moved further back in time) - the period that is "deducted from a fiscal year" may not contain vouchers with the permanent serial number.</w:t>
      </w:r>
    </w:p>
    <w:p w14:paraId="4A9C1776" w14:textId="77777777" w:rsidR="00120F24" w:rsidRPr="004A075D" w:rsidRDefault="00120F24" w:rsidP="00120F24">
      <w:pPr>
        <w:rPr>
          <w:shd w:val="clear" w:color="auto" w:fill="FFFFFF"/>
          <w:lang w:val="en-US"/>
        </w:rPr>
      </w:pPr>
      <w:r w:rsidRPr="004A075D">
        <w:rPr>
          <w:b/>
          <w:bCs/>
          <w:i/>
          <w:iCs/>
          <w:shd w:val="clear" w:color="auto" w:fill="FFFFFF"/>
          <w:lang w:val="en-US"/>
        </w:rPr>
        <w:t xml:space="preserve">If the fiscal year is </w:t>
      </w:r>
      <w:r w:rsidRPr="004A075D">
        <w:rPr>
          <w:b/>
          <w:bCs/>
          <w:i/>
          <w:iCs/>
          <w:u w:val="single"/>
          <w:shd w:val="clear" w:color="auto" w:fill="FFFFFF"/>
          <w:lang w:val="en-US"/>
        </w:rPr>
        <w:t>extended</w:t>
      </w:r>
      <w:r w:rsidRPr="004A075D">
        <w:rPr>
          <w:shd w:val="clear" w:color="auto" w:fill="FFFFFF"/>
          <w:lang w:val="en-US"/>
        </w:rPr>
        <w:t xml:space="preserve"> - the extended period must not overlap with any subsequent fiscal year.</w:t>
      </w:r>
    </w:p>
    <w:p w14:paraId="613CEB92" w14:textId="77777777" w:rsidR="00120F24" w:rsidRPr="004A570C" w:rsidRDefault="00120F24" w:rsidP="00120F24">
      <w:pPr>
        <w:rPr>
          <w:shd w:val="clear" w:color="auto" w:fill="FFFFFF"/>
          <w:lang w:val="en-SE"/>
        </w:rPr>
      </w:pPr>
      <w:r w:rsidRPr="004A075D">
        <w:rPr>
          <w:shd w:val="clear" w:color="auto" w:fill="FFFFFF"/>
          <w:lang w:val="en-US"/>
        </w:rPr>
        <w:t xml:space="preserve">The change is made via </w:t>
      </w:r>
      <w:r w:rsidRPr="004A075D">
        <w:rPr>
          <w:b/>
          <w:bCs/>
          <w:shd w:val="clear" w:color="auto" w:fill="FFFFFF"/>
          <w:lang w:val="en-US"/>
        </w:rPr>
        <w:t>Management &gt; Accounting info &gt; Financial years</w:t>
      </w:r>
      <w:r w:rsidRPr="004A075D">
        <w:rPr>
          <w:shd w:val="clear" w:color="auto" w:fill="FFFFFF"/>
          <w:lang w:val="en-US"/>
        </w:rPr>
        <w:t xml:space="preserve"> and with the “</w:t>
      </w:r>
      <w:r w:rsidRPr="004A075D">
        <w:rPr>
          <w:b/>
          <w:bCs/>
          <w:shd w:val="clear" w:color="auto" w:fill="FFFFFF"/>
          <w:lang w:val="en-US"/>
        </w:rPr>
        <w:t>Change end date</w:t>
      </w:r>
      <w:r w:rsidRPr="004A075D">
        <w:rPr>
          <w:shd w:val="clear" w:color="auto" w:fill="FFFFFF"/>
          <w:lang w:val="en-US"/>
        </w:rPr>
        <w:t>” button.</w:t>
      </w:r>
    </w:p>
    <w:p w14:paraId="79263AD8" w14:textId="77777777" w:rsidR="00120F24" w:rsidRDefault="00120F24" w:rsidP="00120F24">
      <w:pPr>
        <w:rPr>
          <w:highlight w:val="yellow"/>
          <w:lang w:val="en-US"/>
        </w:rPr>
      </w:pPr>
    </w:p>
    <w:p w14:paraId="4AAC6582" w14:textId="77777777" w:rsidR="00120F24" w:rsidRDefault="00120F24" w:rsidP="00120F24">
      <w:pPr>
        <w:pStyle w:val="Heading2"/>
        <w:rPr>
          <w:lang w:val="en-US"/>
        </w:rPr>
      </w:pPr>
      <w:r w:rsidRPr="00BE2FDF">
        <w:rPr>
          <w:lang w:val="en-US"/>
        </w:rPr>
        <w:t xml:space="preserve">Audit log becomes </w:t>
      </w:r>
      <w:proofErr w:type="gramStart"/>
      <w:r w:rsidRPr="00BE2FDF">
        <w:rPr>
          <w:lang w:val="en-US"/>
        </w:rPr>
        <w:t>available</w:t>
      </w:r>
      <w:proofErr w:type="gramEnd"/>
    </w:p>
    <w:p w14:paraId="52BEFB93" w14:textId="77777777" w:rsidR="00120F24" w:rsidRPr="00CC7B38" w:rsidRDefault="00120F24" w:rsidP="00120F24">
      <w:pPr>
        <w:rPr>
          <w:lang w:val="en-US"/>
        </w:rPr>
      </w:pPr>
      <w:r w:rsidRPr="00CC7B38">
        <w:rPr>
          <w:lang w:val="en-US"/>
        </w:rPr>
        <w:t xml:space="preserve">As of this version, the project is completed with the processing history </w:t>
      </w:r>
      <w:r>
        <w:rPr>
          <w:lang w:val="en-US"/>
        </w:rPr>
        <w:t>so</w:t>
      </w:r>
      <w:r w:rsidRPr="00CC7B38">
        <w:rPr>
          <w:lang w:val="en-US"/>
        </w:rPr>
        <w:t xml:space="preserve"> the</w:t>
      </w:r>
      <w:r>
        <w:rPr>
          <w:lang w:val="en-US"/>
        </w:rPr>
        <w:t xml:space="preserve">re is no longer a need for the </w:t>
      </w:r>
      <w:r w:rsidRPr="00CC7B38">
        <w:rPr>
          <w:lang w:val="en-US"/>
        </w:rPr>
        <w:t>special right.</w:t>
      </w:r>
    </w:p>
    <w:p w14:paraId="03C61DF5" w14:textId="77777777" w:rsidR="00120F24" w:rsidRPr="00CC7B38" w:rsidRDefault="00120F24" w:rsidP="00120F24">
      <w:pPr>
        <w:rPr>
          <w:lang w:val="en-US"/>
        </w:rPr>
      </w:pPr>
      <w:r w:rsidRPr="00CC7B38">
        <w:rPr>
          <w:lang w:val="en-US"/>
        </w:rPr>
        <w:t xml:space="preserve">Now anyone who has </w:t>
      </w:r>
      <w:r>
        <w:rPr>
          <w:lang w:val="en-US"/>
        </w:rPr>
        <w:t>access</w:t>
      </w:r>
      <w:r w:rsidRPr="00CC7B38">
        <w:rPr>
          <w:lang w:val="en-US"/>
        </w:rPr>
        <w:t xml:space="preserve"> to see the view for </w:t>
      </w:r>
      <w:r w:rsidRPr="00F24D3E">
        <w:rPr>
          <w:b/>
          <w:bCs/>
          <w:lang w:val="en-US"/>
        </w:rPr>
        <w:t xml:space="preserve">Users and user </w:t>
      </w:r>
      <w:r>
        <w:rPr>
          <w:b/>
          <w:bCs/>
          <w:lang w:val="en-US"/>
        </w:rPr>
        <w:t>rights</w:t>
      </w:r>
      <w:r w:rsidRPr="00CC7B38">
        <w:rPr>
          <w:lang w:val="en-US"/>
        </w:rPr>
        <w:t xml:space="preserve"> (found via </w:t>
      </w:r>
      <w:r>
        <w:rPr>
          <w:b/>
          <w:bCs/>
          <w:lang w:val="en-US"/>
        </w:rPr>
        <w:t>Management</w:t>
      </w:r>
      <w:r w:rsidRPr="00F24D3E">
        <w:rPr>
          <w:b/>
          <w:bCs/>
          <w:lang w:val="en-US"/>
        </w:rPr>
        <w:t xml:space="preserve"> &gt; Users and user </w:t>
      </w:r>
      <w:r>
        <w:rPr>
          <w:b/>
          <w:bCs/>
          <w:lang w:val="en-US"/>
        </w:rPr>
        <w:t>rights</w:t>
      </w:r>
      <w:r w:rsidRPr="00CC7B38">
        <w:rPr>
          <w:lang w:val="en-US"/>
        </w:rPr>
        <w:t xml:space="preserve">) can see who has </w:t>
      </w:r>
      <w:r>
        <w:rPr>
          <w:lang w:val="en-US"/>
        </w:rPr>
        <w:t>access</w:t>
      </w:r>
      <w:r w:rsidRPr="00CC7B38">
        <w:rPr>
          <w:lang w:val="en-US"/>
        </w:rPr>
        <w:t xml:space="preserve"> for the </w:t>
      </w:r>
      <w:r w:rsidRPr="007E37E7">
        <w:rPr>
          <w:b/>
          <w:bCs/>
          <w:lang w:val="en-US"/>
        </w:rPr>
        <w:t>Audit log</w:t>
      </w:r>
      <w:r w:rsidRPr="00CC7B38">
        <w:rPr>
          <w:lang w:val="en-US"/>
        </w:rPr>
        <w:t>. Those who have "</w:t>
      </w:r>
      <w:r>
        <w:rPr>
          <w:b/>
          <w:bCs/>
          <w:lang w:val="en-US"/>
        </w:rPr>
        <w:t>All rights</w:t>
      </w:r>
      <w:r w:rsidRPr="00CC7B38">
        <w:rPr>
          <w:lang w:val="en-US"/>
        </w:rPr>
        <w:t xml:space="preserve">" for the </w:t>
      </w:r>
      <w:r>
        <w:rPr>
          <w:lang w:val="en-US"/>
        </w:rPr>
        <w:t>audit log</w:t>
      </w:r>
      <w:r w:rsidRPr="00CC7B38">
        <w:rPr>
          <w:lang w:val="en-US"/>
        </w:rPr>
        <w:t xml:space="preserve"> can now search, </w:t>
      </w:r>
      <w:proofErr w:type="gramStart"/>
      <w:r w:rsidRPr="00CC7B38">
        <w:rPr>
          <w:lang w:val="en-US"/>
        </w:rPr>
        <w:t>view</w:t>
      </w:r>
      <w:proofErr w:type="gramEnd"/>
      <w:r w:rsidRPr="00CC7B38">
        <w:rPr>
          <w:lang w:val="en-US"/>
        </w:rPr>
        <w:t xml:space="preserve"> and export the </w:t>
      </w:r>
      <w:r>
        <w:rPr>
          <w:lang w:val="en-US"/>
        </w:rPr>
        <w:t>audit log</w:t>
      </w:r>
      <w:r w:rsidRPr="00CC7B38">
        <w:rPr>
          <w:lang w:val="en-US"/>
        </w:rPr>
        <w:t>.</w:t>
      </w:r>
    </w:p>
    <w:p w14:paraId="6277F487" w14:textId="77777777" w:rsidR="00120F24" w:rsidRDefault="00120F24" w:rsidP="00120F24">
      <w:pPr>
        <w:rPr>
          <w:highlight w:val="yellow"/>
          <w:lang w:val="en-US"/>
        </w:rPr>
      </w:pPr>
      <w:r>
        <w:rPr>
          <w:noProof/>
          <w14:ligatures w14:val="none"/>
        </w:rPr>
        <w:drawing>
          <wp:inline distT="0" distB="0" distL="0" distR="0" wp14:anchorId="51A78236" wp14:editId="223B36EC">
            <wp:extent cx="3472933" cy="3246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79974" cy="3253338"/>
                    </a:xfrm>
                    <a:prstGeom prst="rect">
                      <a:avLst/>
                    </a:prstGeom>
                  </pic:spPr>
                </pic:pic>
              </a:graphicData>
            </a:graphic>
          </wp:inline>
        </w:drawing>
      </w:r>
    </w:p>
    <w:p w14:paraId="2EECC58C" w14:textId="77777777" w:rsidR="00120F24" w:rsidRDefault="00120F24" w:rsidP="00120F24">
      <w:pPr>
        <w:rPr>
          <w:lang w:val="en-US"/>
        </w:rPr>
      </w:pPr>
      <w:r w:rsidRPr="0037456B">
        <w:rPr>
          <w:lang w:val="en-US"/>
        </w:rPr>
        <w:t xml:space="preserve">The </w:t>
      </w:r>
      <w:r>
        <w:rPr>
          <w:lang w:val="en-US"/>
        </w:rPr>
        <w:t>audit log</w:t>
      </w:r>
      <w:r w:rsidRPr="0037456B">
        <w:rPr>
          <w:lang w:val="en-US"/>
        </w:rPr>
        <w:t xml:space="preserve"> itself can be found via </w:t>
      </w:r>
      <w:r w:rsidRPr="009462E5">
        <w:rPr>
          <w:b/>
          <w:bCs/>
          <w:lang w:val="en-US"/>
        </w:rPr>
        <w:t>Management &gt; Audit log</w:t>
      </w:r>
      <w:r>
        <w:rPr>
          <w:lang w:val="en-US"/>
        </w:rPr>
        <w:t xml:space="preserve"> </w:t>
      </w:r>
      <w:r w:rsidRPr="0037456B">
        <w:rPr>
          <w:lang w:val="en-US"/>
        </w:rPr>
        <w:t xml:space="preserve">and then you select what should be displayed under </w:t>
      </w:r>
      <w:r>
        <w:rPr>
          <w:lang w:val="en-US"/>
        </w:rPr>
        <w:t>search criteria</w:t>
      </w:r>
      <w:r w:rsidRPr="0037456B">
        <w:rPr>
          <w:lang w:val="en-US"/>
        </w:rPr>
        <w:t>. Button for export, both in csv and pdf format, is available.</w:t>
      </w:r>
    </w:p>
    <w:p w14:paraId="4C6351EB" w14:textId="77777777" w:rsidR="00120F24" w:rsidRDefault="00120F24" w:rsidP="00120F24">
      <w:pPr>
        <w:rPr>
          <w:lang w:val="en-US"/>
        </w:rPr>
      </w:pPr>
      <w:r>
        <w:rPr>
          <w:noProof/>
          <w14:ligatures w14:val="none"/>
        </w:rPr>
        <w:drawing>
          <wp:inline distT="0" distB="0" distL="0" distR="0" wp14:anchorId="54B6C563" wp14:editId="02BF5603">
            <wp:extent cx="5731510" cy="33413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3341370"/>
                    </a:xfrm>
                    <a:prstGeom prst="rect">
                      <a:avLst/>
                    </a:prstGeom>
                  </pic:spPr>
                </pic:pic>
              </a:graphicData>
            </a:graphic>
          </wp:inline>
        </w:drawing>
      </w:r>
    </w:p>
    <w:p w14:paraId="194A77D8" w14:textId="77777777" w:rsidR="00120F24" w:rsidRPr="00475817" w:rsidRDefault="00120F24" w:rsidP="00120F24">
      <w:pPr>
        <w:rPr>
          <w:highlight w:val="yellow"/>
          <w:lang w:val="en-US"/>
        </w:rPr>
      </w:pPr>
    </w:p>
    <w:p w14:paraId="59908C62" w14:textId="4F3CDDD4" w:rsidR="59BC8416" w:rsidRDefault="59BC8416" w:rsidP="59BC8416">
      <w:pPr>
        <w:rPr>
          <w:rFonts w:ascii="Fabrik" w:hAnsi="Fabrik"/>
          <w:lang w:val="en-US"/>
        </w:rPr>
      </w:pPr>
    </w:p>
    <w:sectPr w:rsidR="59BC8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abrik">
    <w:panose1 w:val="00000500000000000000"/>
    <w:charset w:val="00"/>
    <w:family w:val="modern"/>
    <w:notTrueType/>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C0E"/>
    <w:multiLevelType w:val="hybridMultilevel"/>
    <w:tmpl w:val="C8F635D2"/>
    <w:lvl w:ilvl="0" w:tplc="3DEE4F40">
      <w:start w:val="1"/>
      <w:numFmt w:val="bullet"/>
      <w:lvlText w:val="·"/>
      <w:lvlJc w:val="left"/>
      <w:pPr>
        <w:ind w:left="720" w:hanging="360"/>
      </w:pPr>
      <w:rPr>
        <w:rFonts w:ascii="Symbol" w:hAnsi="Symbol" w:hint="default"/>
      </w:rPr>
    </w:lvl>
    <w:lvl w:ilvl="1" w:tplc="AF782866">
      <w:start w:val="1"/>
      <w:numFmt w:val="bullet"/>
      <w:lvlText w:val="o"/>
      <w:lvlJc w:val="left"/>
      <w:pPr>
        <w:ind w:left="1440" w:hanging="360"/>
      </w:pPr>
      <w:rPr>
        <w:rFonts w:ascii="Courier New" w:hAnsi="Courier New" w:hint="default"/>
      </w:rPr>
    </w:lvl>
    <w:lvl w:ilvl="2" w:tplc="386CF520">
      <w:start w:val="1"/>
      <w:numFmt w:val="bullet"/>
      <w:lvlText w:val=""/>
      <w:lvlJc w:val="left"/>
      <w:pPr>
        <w:ind w:left="2160" w:hanging="360"/>
      </w:pPr>
      <w:rPr>
        <w:rFonts w:ascii="Wingdings" w:hAnsi="Wingdings" w:hint="default"/>
      </w:rPr>
    </w:lvl>
    <w:lvl w:ilvl="3" w:tplc="878A5BFC">
      <w:start w:val="1"/>
      <w:numFmt w:val="bullet"/>
      <w:lvlText w:val=""/>
      <w:lvlJc w:val="left"/>
      <w:pPr>
        <w:ind w:left="2880" w:hanging="360"/>
      </w:pPr>
      <w:rPr>
        <w:rFonts w:ascii="Symbol" w:hAnsi="Symbol" w:hint="default"/>
      </w:rPr>
    </w:lvl>
    <w:lvl w:ilvl="4" w:tplc="2EBAFDA4">
      <w:start w:val="1"/>
      <w:numFmt w:val="bullet"/>
      <w:lvlText w:val="o"/>
      <w:lvlJc w:val="left"/>
      <w:pPr>
        <w:ind w:left="3600" w:hanging="360"/>
      </w:pPr>
      <w:rPr>
        <w:rFonts w:ascii="Courier New" w:hAnsi="Courier New" w:hint="default"/>
      </w:rPr>
    </w:lvl>
    <w:lvl w:ilvl="5" w:tplc="1B363360">
      <w:start w:val="1"/>
      <w:numFmt w:val="bullet"/>
      <w:lvlText w:val=""/>
      <w:lvlJc w:val="left"/>
      <w:pPr>
        <w:ind w:left="4320" w:hanging="360"/>
      </w:pPr>
      <w:rPr>
        <w:rFonts w:ascii="Wingdings" w:hAnsi="Wingdings" w:hint="default"/>
      </w:rPr>
    </w:lvl>
    <w:lvl w:ilvl="6" w:tplc="3F8AEED8">
      <w:start w:val="1"/>
      <w:numFmt w:val="bullet"/>
      <w:lvlText w:val=""/>
      <w:lvlJc w:val="left"/>
      <w:pPr>
        <w:ind w:left="5040" w:hanging="360"/>
      </w:pPr>
      <w:rPr>
        <w:rFonts w:ascii="Symbol" w:hAnsi="Symbol" w:hint="default"/>
      </w:rPr>
    </w:lvl>
    <w:lvl w:ilvl="7" w:tplc="704478EA">
      <w:start w:val="1"/>
      <w:numFmt w:val="bullet"/>
      <w:lvlText w:val="o"/>
      <w:lvlJc w:val="left"/>
      <w:pPr>
        <w:ind w:left="5760" w:hanging="360"/>
      </w:pPr>
      <w:rPr>
        <w:rFonts w:ascii="Courier New" w:hAnsi="Courier New" w:hint="default"/>
      </w:rPr>
    </w:lvl>
    <w:lvl w:ilvl="8" w:tplc="057478AA">
      <w:start w:val="1"/>
      <w:numFmt w:val="bullet"/>
      <w:lvlText w:val=""/>
      <w:lvlJc w:val="left"/>
      <w:pPr>
        <w:ind w:left="6480" w:hanging="360"/>
      </w:pPr>
      <w:rPr>
        <w:rFonts w:ascii="Wingdings" w:hAnsi="Wingdings" w:hint="default"/>
      </w:rPr>
    </w:lvl>
  </w:abstractNum>
  <w:abstractNum w:abstractNumId="1" w15:restartNumberingAfterBreak="0">
    <w:nsid w:val="12A62A38"/>
    <w:multiLevelType w:val="hybridMultilevel"/>
    <w:tmpl w:val="D53859D4"/>
    <w:lvl w:ilvl="0" w:tplc="AFC0E23E">
      <w:start w:val="1"/>
      <w:numFmt w:val="bullet"/>
      <w:lvlText w:val="·"/>
      <w:lvlJc w:val="left"/>
      <w:pPr>
        <w:ind w:left="720" w:hanging="360"/>
      </w:pPr>
      <w:rPr>
        <w:rFonts w:ascii="Symbol" w:hAnsi="Symbol" w:hint="default"/>
      </w:rPr>
    </w:lvl>
    <w:lvl w:ilvl="1" w:tplc="008657F2">
      <w:start w:val="1"/>
      <w:numFmt w:val="bullet"/>
      <w:lvlText w:val="o"/>
      <w:lvlJc w:val="left"/>
      <w:pPr>
        <w:ind w:left="1440" w:hanging="360"/>
      </w:pPr>
      <w:rPr>
        <w:rFonts w:ascii="Courier New" w:hAnsi="Courier New" w:hint="default"/>
      </w:rPr>
    </w:lvl>
    <w:lvl w:ilvl="2" w:tplc="347A7D80">
      <w:start w:val="1"/>
      <w:numFmt w:val="bullet"/>
      <w:lvlText w:val=""/>
      <w:lvlJc w:val="left"/>
      <w:pPr>
        <w:ind w:left="2160" w:hanging="360"/>
      </w:pPr>
      <w:rPr>
        <w:rFonts w:ascii="Wingdings" w:hAnsi="Wingdings" w:hint="default"/>
      </w:rPr>
    </w:lvl>
    <w:lvl w:ilvl="3" w:tplc="0EF2AA56">
      <w:start w:val="1"/>
      <w:numFmt w:val="bullet"/>
      <w:lvlText w:val=""/>
      <w:lvlJc w:val="left"/>
      <w:pPr>
        <w:ind w:left="2880" w:hanging="360"/>
      </w:pPr>
      <w:rPr>
        <w:rFonts w:ascii="Symbol" w:hAnsi="Symbol" w:hint="default"/>
      </w:rPr>
    </w:lvl>
    <w:lvl w:ilvl="4" w:tplc="21FE61B4">
      <w:start w:val="1"/>
      <w:numFmt w:val="bullet"/>
      <w:lvlText w:val="o"/>
      <w:lvlJc w:val="left"/>
      <w:pPr>
        <w:ind w:left="3600" w:hanging="360"/>
      </w:pPr>
      <w:rPr>
        <w:rFonts w:ascii="Courier New" w:hAnsi="Courier New" w:hint="default"/>
      </w:rPr>
    </w:lvl>
    <w:lvl w:ilvl="5" w:tplc="9CD06AA4">
      <w:start w:val="1"/>
      <w:numFmt w:val="bullet"/>
      <w:lvlText w:val=""/>
      <w:lvlJc w:val="left"/>
      <w:pPr>
        <w:ind w:left="4320" w:hanging="360"/>
      </w:pPr>
      <w:rPr>
        <w:rFonts w:ascii="Wingdings" w:hAnsi="Wingdings" w:hint="default"/>
      </w:rPr>
    </w:lvl>
    <w:lvl w:ilvl="6" w:tplc="8E0E2284">
      <w:start w:val="1"/>
      <w:numFmt w:val="bullet"/>
      <w:lvlText w:val=""/>
      <w:lvlJc w:val="left"/>
      <w:pPr>
        <w:ind w:left="5040" w:hanging="360"/>
      </w:pPr>
      <w:rPr>
        <w:rFonts w:ascii="Symbol" w:hAnsi="Symbol" w:hint="default"/>
      </w:rPr>
    </w:lvl>
    <w:lvl w:ilvl="7" w:tplc="82660D50">
      <w:start w:val="1"/>
      <w:numFmt w:val="bullet"/>
      <w:lvlText w:val="o"/>
      <w:lvlJc w:val="left"/>
      <w:pPr>
        <w:ind w:left="5760" w:hanging="360"/>
      </w:pPr>
      <w:rPr>
        <w:rFonts w:ascii="Courier New" w:hAnsi="Courier New" w:hint="default"/>
      </w:rPr>
    </w:lvl>
    <w:lvl w:ilvl="8" w:tplc="350C80F6">
      <w:start w:val="1"/>
      <w:numFmt w:val="bullet"/>
      <w:lvlText w:val=""/>
      <w:lvlJc w:val="left"/>
      <w:pPr>
        <w:ind w:left="6480" w:hanging="360"/>
      </w:pPr>
      <w:rPr>
        <w:rFonts w:ascii="Wingdings" w:hAnsi="Wingdings" w:hint="default"/>
      </w:rPr>
    </w:lvl>
  </w:abstractNum>
  <w:abstractNum w:abstractNumId="2" w15:restartNumberingAfterBreak="0">
    <w:nsid w:val="18BAA32E"/>
    <w:multiLevelType w:val="hybridMultilevel"/>
    <w:tmpl w:val="929ABE82"/>
    <w:lvl w:ilvl="0" w:tplc="2020C77A">
      <w:start w:val="1"/>
      <w:numFmt w:val="bullet"/>
      <w:lvlText w:val="·"/>
      <w:lvlJc w:val="left"/>
      <w:pPr>
        <w:ind w:left="720" w:hanging="360"/>
      </w:pPr>
      <w:rPr>
        <w:rFonts w:ascii="Symbol" w:hAnsi="Symbol" w:hint="default"/>
      </w:rPr>
    </w:lvl>
    <w:lvl w:ilvl="1" w:tplc="50A074EE">
      <w:start w:val="1"/>
      <w:numFmt w:val="bullet"/>
      <w:lvlText w:val="o"/>
      <w:lvlJc w:val="left"/>
      <w:pPr>
        <w:ind w:left="1440" w:hanging="360"/>
      </w:pPr>
      <w:rPr>
        <w:rFonts w:ascii="Courier New" w:hAnsi="Courier New" w:hint="default"/>
      </w:rPr>
    </w:lvl>
    <w:lvl w:ilvl="2" w:tplc="32C40320">
      <w:start w:val="1"/>
      <w:numFmt w:val="bullet"/>
      <w:lvlText w:val=""/>
      <w:lvlJc w:val="left"/>
      <w:pPr>
        <w:ind w:left="2160" w:hanging="360"/>
      </w:pPr>
      <w:rPr>
        <w:rFonts w:ascii="Wingdings" w:hAnsi="Wingdings" w:hint="default"/>
      </w:rPr>
    </w:lvl>
    <w:lvl w:ilvl="3" w:tplc="42FC3A5E">
      <w:start w:val="1"/>
      <w:numFmt w:val="bullet"/>
      <w:lvlText w:val=""/>
      <w:lvlJc w:val="left"/>
      <w:pPr>
        <w:ind w:left="2880" w:hanging="360"/>
      </w:pPr>
      <w:rPr>
        <w:rFonts w:ascii="Symbol" w:hAnsi="Symbol" w:hint="default"/>
      </w:rPr>
    </w:lvl>
    <w:lvl w:ilvl="4" w:tplc="A07ADE58">
      <w:start w:val="1"/>
      <w:numFmt w:val="bullet"/>
      <w:lvlText w:val="o"/>
      <w:lvlJc w:val="left"/>
      <w:pPr>
        <w:ind w:left="3600" w:hanging="360"/>
      </w:pPr>
      <w:rPr>
        <w:rFonts w:ascii="Courier New" w:hAnsi="Courier New" w:hint="default"/>
      </w:rPr>
    </w:lvl>
    <w:lvl w:ilvl="5" w:tplc="906853DA">
      <w:start w:val="1"/>
      <w:numFmt w:val="bullet"/>
      <w:lvlText w:val=""/>
      <w:lvlJc w:val="left"/>
      <w:pPr>
        <w:ind w:left="4320" w:hanging="360"/>
      </w:pPr>
      <w:rPr>
        <w:rFonts w:ascii="Wingdings" w:hAnsi="Wingdings" w:hint="default"/>
      </w:rPr>
    </w:lvl>
    <w:lvl w:ilvl="6" w:tplc="22BE2E86">
      <w:start w:val="1"/>
      <w:numFmt w:val="bullet"/>
      <w:lvlText w:val=""/>
      <w:lvlJc w:val="left"/>
      <w:pPr>
        <w:ind w:left="5040" w:hanging="360"/>
      </w:pPr>
      <w:rPr>
        <w:rFonts w:ascii="Symbol" w:hAnsi="Symbol" w:hint="default"/>
      </w:rPr>
    </w:lvl>
    <w:lvl w:ilvl="7" w:tplc="1FA698FE">
      <w:start w:val="1"/>
      <w:numFmt w:val="bullet"/>
      <w:lvlText w:val="o"/>
      <w:lvlJc w:val="left"/>
      <w:pPr>
        <w:ind w:left="5760" w:hanging="360"/>
      </w:pPr>
      <w:rPr>
        <w:rFonts w:ascii="Courier New" w:hAnsi="Courier New" w:hint="default"/>
      </w:rPr>
    </w:lvl>
    <w:lvl w:ilvl="8" w:tplc="B03A531A">
      <w:start w:val="1"/>
      <w:numFmt w:val="bullet"/>
      <w:lvlText w:val=""/>
      <w:lvlJc w:val="left"/>
      <w:pPr>
        <w:ind w:left="6480" w:hanging="360"/>
      </w:pPr>
      <w:rPr>
        <w:rFonts w:ascii="Wingdings" w:hAnsi="Wingdings" w:hint="default"/>
      </w:rPr>
    </w:lvl>
  </w:abstractNum>
  <w:abstractNum w:abstractNumId="3" w15:restartNumberingAfterBreak="0">
    <w:nsid w:val="1A415FED"/>
    <w:multiLevelType w:val="hybridMultilevel"/>
    <w:tmpl w:val="C07A7FC4"/>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DCA879"/>
    <w:multiLevelType w:val="hybridMultilevel"/>
    <w:tmpl w:val="3C4ED614"/>
    <w:lvl w:ilvl="0" w:tplc="6AB29988">
      <w:start w:val="1"/>
      <w:numFmt w:val="bullet"/>
      <w:lvlText w:val=""/>
      <w:lvlJc w:val="left"/>
      <w:pPr>
        <w:ind w:left="720" w:hanging="360"/>
      </w:pPr>
      <w:rPr>
        <w:rFonts w:ascii="Symbol" w:hAnsi="Symbol" w:hint="default"/>
      </w:rPr>
    </w:lvl>
    <w:lvl w:ilvl="1" w:tplc="7542EFC2">
      <w:start w:val="1"/>
      <w:numFmt w:val="bullet"/>
      <w:lvlText w:val="o"/>
      <w:lvlJc w:val="left"/>
      <w:pPr>
        <w:ind w:left="1440" w:hanging="360"/>
      </w:pPr>
      <w:rPr>
        <w:rFonts w:ascii="Courier New" w:hAnsi="Courier New" w:hint="default"/>
      </w:rPr>
    </w:lvl>
    <w:lvl w:ilvl="2" w:tplc="84403032">
      <w:start w:val="1"/>
      <w:numFmt w:val="bullet"/>
      <w:lvlText w:val=""/>
      <w:lvlJc w:val="left"/>
      <w:pPr>
        <w:ind w:left="2160" w:hanging="360"/>
      </w:pPr>
      <w:rPr>
        <w:rFonts w:ascii="Wingdings" w:hAnsi="Wingdings" w:hint="default"/>
      </w:rPr>
    </w:lvl>
    <w:lvl w:ilvl="3" w:tplc="7958BD10">
      <w:start w:val="1"/>
      <w:numFmt w:val="bullet"/>
      <w:lvlText w:val=""/>
      <w:lvlJc w:val="left"/>
      <w:pPr>
        <w:ind w:left="2880" w:hanging="360"/>
      </w:pPr>
      <w:rPr>
        <w:rFonts w:ascii="Symbol" w:hAnsi="Symbol" w:hint="default"/>
      </w:rPr>
    </w:lvl>
    <w:lvl w:ilvl="4" w:tplc="8D5EB142">
      <w:start w:val="1"/>
      <w:numFmt w:val="bullet"/>
      <w:lvlText w:val="o"/>
      <w:lvlJc w:val="left"/>
      <w:pPr>
        <w:ind w:left="3600" w:hanging="360"/>
      </w:pPr>
      <w:rPr>
        <w:rFonts w:ascii="Courier New" w:hAnsi="Courier New" w:hint="default"/>
      </w:rPr>
    </w:lvl>
    <w:lvl w:ilvl="5" w:tplc="BCC8F994">
      <w:start w:val="1"/>
      <w:numFmt w:val="bullet"/>
      <w:lvlText w:val=""/>
      <w:lvlJc w:val="left"/>
      <w:pPr>
        <w:ind w:left="4320" w:hanging="360"/>
      </w:pPr>
      <w:rPr>
        <w:rFonts w:ascii="Wingdings" w:hAnsi="Wingdings" w:hint="default"/>
      </w:rPr>
    </w:lvl>
    <w:lvl w:ilvl="6" w:tplc="5C884256">
      <w:start w:val="1"/>
      <w:numFmt w:val="bullet"/>
      <w:lvlText w:val=""/>
      <w:lvlJc w:val="left"/>
      <w:pPr>
        <w:ind w:left="5040" w:hanging="360"/>
      </w:pPr>
      <w:rPr>
        <w:rFonts w:ascii="Symbol" w:hAnsi="Symbol" w:hint="default"/>
      </w:rPr>
    </w:lvl>
    <w:lvl w:ilvl="7" w:tplc="5680D44A">
      <w:start w:val="1"/>
      <w:numFmt w:val="bullet"/>
      <w:lvlText w:val="o"/>
      <w:lvlJc w:val="left"/>
      <w:pPr>
        <w:ind w:left="5760" w:hanging="360"/>
      </w:pPr>
      <w:rPr>
        <w:rFonts w:ascii="Courier New" w:hAnsi="Courier New" w:hint="default"/>
      </w:rPr>
    </w:lvl>
    <w:lvl w:ilvl="8" w:tplc="C150C3AC">
      <w:start w:val="1"/>
      <w:numFmt w:val="bullet"/>
      <w:lvlText w:val=""/>
      <w:lvlJc w:val="left"/>
      <w:pPr>
        <w:ind w:left="6480" w:hanging="360"/>
      </w:pPr>
      <w:rPr>
        <w:rFonts w:ascii="Wingdings" w:hAnsi="Wingdings" w:hint="default"/>
      </w:rPr>
    </w:lvl>
  </w:abstractNum>
  <w:abstractNum w:abstractNumId="5" w15:restartNumberingAfterBreak="0">
    <w:nsid w:val="2100EA40"/>
    <w:multiLevelType w:val="hybridMultilevel"/>
    <w:tmpl w:val="6A4A364C"/>
    <w:lvl w:ilvl="0" w:tplc="53DC883C">
      <w:start w:val="1"/>
      <w:numFmt w:val="bullet"/>
      <w:lvlText w:val="·"/>
      <w:lvlJc w:val="left"/>
      <w:pPr>
        <w:ind w:left="720" w:hanging="360"/>
      </w:pPr>
      <w:rPr>
        <w:rFonts w:ascii="Symbol" w:hAnsi="Symbol" w:hint="default"/>
      </w:rPr>
    </w:lvl>
    <w:lvl w:ilvl="1" w:tplc="C7FA7C04">
      <w:start w:val="1"/>
      <w:numFmt w:val="bullet"/>
      <w:lvlText w:val="o"/>
      <w:lvlJc w:val="left"/>
      <w:pPr>
        <w:ind w:left="1440" w:hanging="360"/>
      </w:pPr>
      <w:rPr>
        <w:rFonts w:ascii="Courier New" w:hAnsi="Courier New" w:hint="default"/>
      </w:rPr>
    </w:lvl>
    <w:lvl w:ilvl="2" w:tplc="37AA0400">
      <w:start w:val="1"/>
      <w:numFmt w:val="bullet"/>
      <w:lvlText w:val=""/>
      <w:lvlJc w:val="left"/>
      <w:pPr>
        <w:ind w:left="2160" w:hanging="360"/>
      </w:pPr>
      <w:rPr>
        <w:rFonts w:ascii="Wingdings" w:hAnsi="Wingdings" w:hint="default"/>
      </w:rPr>
    </w:lvl>
    <w:lvl w:ilvl="3" w:tplc="D0480EA2">
      <w:start w:val="1"/>
      <w:numFmt w:val="bullet"/>
      <w:lvlText w:val=""/>
      <w:lvlJc w:val="left"/>
      <w:pPr>
        <w:ind w:left="2880" w:hanging="360"/>
      </w:pPr>
      <w:rPr>
        <w:rFonts w:ascii="Symbol" w:hAnsi="Symbol" w:hint="default"/>
      </w:rPr>
    </w:lvl>
    <w:lvl w:ilvl="4" w:tplc="DC461A82">
      <w:start w:val="1"/>
      <w:numFmt w:val="bullet"/>
      <w:lvlText w:val="o"/>
      <w:lvlJc w:val="left"/>
      <w:pPr>
        <w:ind w:left="3600" w:hanging="360"/>
      </w:pPr>
      <w:rPr>
        <w:rFonts w:ascii="Courier New" w:hAnsi="Courier New" w:hint="default"/>
      </w:rPr>
    </w:lvl>
    <w:lvl w:ilvl="5" w:tplc="66DCA1D2">
      <w:start w:val="1"/>
      <w:numFmt w:val="bullet"/>
      <w:lvlText w:val=""/>
      <w:lvlJc w:val="left"/>
      <w:pPr>
        <w:ind w:left="4320" w:hanging="360"/>
      </w:pPr>
      <w:rPr>
        <w:rFonts w:ascii="Wingdings" w:hAnsi="Wingdings" w:hint="default"/>
      </w:rPr>
    </w:lvl>
    <w:lvl w:ilvl="6" w:tplc="6A3E5764">
      <w:start w:val="1"/>
      <w:numFmt w:val="bullet"/>
      <w:lvlText w:val=""/>
      <w:lvlJc w:val="left"/>
      <w:pPr>
        <w:ind w:left="5040" w:hanging="360"/>
      </w:pPr>
      <w:rPr>
        <w:rFonts w:ascii="Symbol" w:hAnsi="Symbol" w:hint="default"/>
      </w:rPr>
    </w:lvl>
    <w:lvl w:ilvl="7" w:tplc="0C9E672C">
      <w:start w:val="1"/>
      <w:numFmt w:val="bullet"/>
      <w:lvlText w:val="o"/>
      <w:lvlJc w:val="left"/>
      <w:pPr>
        <w:ind w:left="5760" w:hanging="360"/>
      </w:pPr>
      <w:rPr>
        <w:rFonts w:ascii="Courier New" w:hAnsi="Courier New" w:hint="default"/>
      </w:rPr>
    </w:lvl>
    <w:lvl w:ilvl="8" w:tplc="A23415FC">
      <w:start w:val="1"/>
      <w:numFmt w:val="bullet"/>
      <w:lvlText w:val=""/>
      <w:lvlJc w:val="left"/>
      <w:pPr>
        <w:ind w:left="6480" w:hanging="360"/>
      </w:pPr>
      <w:rPr>
        <w:rFonts w:ascii="Wingdings" w:hAnsi="Wingdings" w:hint="default"/>
      </w:rPr>
    </w:lvl>
  </w:abstractNum>
  <w:abstractNum w:abstractNumId="6" w15:restartNumberingAfterBreak="0">
    <w:nsid w:val="51585E9A"/>
    <w:multiLevelType w:val="hybridMultilevel"/>
    <w:tmpl w:val="FA7AD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CF3C6C"/>
    <w:multiLevelType w:val="hybridMultilevel"/>
    <w:tmpl w:val="C242145A"/>
    <w:lvl w:ilvl="0" w:tplc="0F14F134">
      <w:start w:val="1"/>
      <w:numFmt w:val="bullet"/>
      <w:lvlText w:val="·"/>
      <w:lvlJc w:val="left"/>
      <w:pPr>
        <w:ind w:left="720" w:hanging="360"/>
      </w:pPr>
      <w:rPr>
        <w:rFonts w:ascii="Symbol" w:hAnsi="Symbol" w:hint="default"/>
      </w:rPr>
    </w:lvl>
    <w:lvl w:ilvl="1" w:tplc="EA7EA614">
      <w:start w:val="1"/>
      <w:numFmt w:val="bullet"/>
      <w:lvlText w:val="o"/>
      <w:lvlJc w:val="left"/>
      <w:pPr>
        <w:ind w:left="1440" w:hanging="360"/>
      </w:pPr>
      <w:rPr>
        <w:rFonts w:ascii="Courier New" w:hAnsi="Courier New" w:hint="default"/>
      </w:rPr>
    </w:lvl>
    <w:lvl w:ilvl="2" w:tplc="D3DC4F08">
      <w:start w:val="1"/>
      <w:numFmt w:val="bullet"/>
      <w:lvlText w:val=""/>
      <w:lvlJc w:val="left"/>
      <w:pPr>
        <w:ind w:left="2160" w:hanging="360"/>
      </w:pPr>
      <w:rPr>
        <w:rFonts w:ascii="Wingdings" w:hAnsi="Wingdings" w:hint="default"/>
      </w:rPr>
    </w:lvl>
    <w:lvl w:ilvl="3" w:tplc="6400C398">
      <w:start w:val="1"/>
      <w:numFmt w:val="bullet"/>
      <w:lvlText w:val=""/>
      <w:lvlJc w:val="left"/>
      <w:pPr>
        <w:ind w:left="2880" w:hanging="360"/>
      </w:pPr>
      <w:rPr>
        <w:rFonts w:ascii="Symbol" w:hAnsi="Symbol" w:hint="default"/>
      </w:rPr>
    </w:lvl>
    <w:lvl w:ilvl="4" w:tplc="22C66BDC">
      <w:start w:val="1"/>
      <w:numFmt w:val="bullet"/>
      <w:lvlText w:val="o"/>
      <w:lvlJc w:val="left"/>
      <w:pPr>
        <w:ind w:left="3600" w:hanging="360"/>
      </w:pPr>
      <w:rPr>
        <w:rFonts w:ascii="Courier New" w:hAnsi="Courier New" w:hint="default"/>
      </w:rPr>
    </w:lvl>
    <w:lvl w:ilvl="5" w:tplc="3A6E1E0E">
      <w:start w:val="1"/>
      <w:numFmt w:val="bullet"/>
      <w:lvlText w:val=""/>
      <w:lvlJc w:val="left"/>
      <w:pPr>
        <w:ind w:left="4320" w:hanging="360"/>
      </w:pPr>
      <w:rPr>
        <w:rFonts w:ascii="Wingdings" w:hAnsi="Wingdings" w:hint="default"/>
      </w:rPr>
    </w:lvl>
    <w:lvl w:ilvl="6" w:tplc="50509A6E">
      <w:start w:val="1"/>
      <w:numFmt w:val="bullet"/>
      <w:lvlText w:val=""/>
      <w:lvlJc w:val="left"/>
      <w:pPr>
        <w:ind w:left="5040" w:hanging="360"/>
      </w:pPr>
      <w:rPr>
        <w:rFonts w:ascii="Symbol" w:hAnsi="Symbol" w:hint="default"/>
      </w:rPr>
    </w:lvl>
    <w:lvl w:ilvl="7" w:tplc="F050BBC0">
      <w:start w:val="1"/>
      <w:numFmt w:val="bullet"/>
      <w:lvlText w:val="o"/>
      <w:lvlJc w:val="left"/>
      <w:pPr>
        <w:ind w:left="5760" w:hanging="360"/>
      </w:pPr>
      <w:rPr>
        <w:rFonts w:ascii="Courier New" w:hAnsi="Courier New" w:hint="default"/>
      </w:rPr>
    </w:lvl>
    <w:lvl w:ilvl="8" w:tplc="69DEF1CE">
      <w:start w:val="1"/>
      <w:numFmt w:val="bullet"/>
      <w:lvlText w:val=""/>
      <w:lvlJc w:val="left"/>
      <w:pPr>
        <w:ind w:left="6480" w:hanging="360"/>
      </w:pPr>
      <w:rPr>
        <w:rFonts w:ascii="Wingdings" w:hAnsi="Wingdings" w:hint="default"/>
      </w:rPr>
    </w:lvl>
  </w:abstractNum>
  <w:abstractNum w:abstractNumId="8" w15:restartNumberingAfterBreak="0">
    <w:nsid w:val="566F4FB4"/>
    <w:multiLevelType w:val="hybridMultilevel"/>
    <w:tmpl w:val="1FA44E90"/>
    <w:lvl w:ilvl="0" w:tplc="500AF39A">
      <w:start w:val="1"/>
      <w:numFmt w:val="bullet"/>
      <w:lvlText w:val="·"/>
      <w:lvlJc w:val="left"/>
      <w:pPr>
        <w:ind w:left="720" w:hanging="360"/>
      </w:pPr>
      <w:rPr>
        <w:rFonts w:ascii="Symbol" w:hAnsi="Symbol" w:hint="default"/>
      </w:rPr>
    </w:lvl>
    <w:lvl w:ilvl="1" w:tplc="FD7AFF52">
      <w:start w:val="1"/>
      <w:numFmt w:val="bullet"/>
      <w:lvlText w:val="o"/>
      <w:lvlJc w:val="left"/>
      <w:pPr>
        <w:ind w:left="1440" w:hanging="360"/>
      </w:pPr>
      <w:rPr>
        <w:rFonts w:ascii="Courier New" w:hAnsi="Courier New" w:hint="default"/>
      </w:rPr>
    </w:lvl>
    <w:lvl w:ilvl="2" w:tplc="8AFEDB02">
      <w:start w:val="1"/>
      <w:numFmt w:val="bullet"/>
      <w:lvlText w:val=""/>
      <w:lvlJc w:val="left"/>
      <w:pPr>
        <w:ind w:left="2160" w:hanging="360"/>
      </w:pPr>
      <w:rPr>
        <w:rFonts w:ascii="Wingdings" w:hAnsi="Wingdings" w:hint="default"/>
      </w:rPr>
    </w:lvl>
    <w:lvl w:ilvl="3" w:tplc="7CFA261A">
      <w:start w:val="1"/>
      <w:numFmt w:val="bullet"/>
      <w:lvlText w:val=""/>
      <w:lvlJc w:val="left"/>
      <w:pPr>
        <w:ind w:left="2880" w:hanging="360"/>
      </w:pPr>
      <w:rPr>
        <w:rFonts w:ascii="Symbol" w:hAnsi="Symbol" w:hint="default"/>
      </w:rPr>
    </w:lvl>
    <w:lvl w:ilvl="4" w:tplc="105E3F28">
      <w:start w:val="1"/>
      <w:numFmt w:val="bullet"/>
      <w:lvlText w:val="o"/>
      <w:lvlJc w:val="left"/>
      <w:pPr>
        <w:ind w:left="3600" w:hanging="360"/>
      </w:pPr>
      <w:rPr>
        <w:rFonts w:ascii="Courier New" w:hAnsi="Courier New" w:hint="default"/>
      </w:rPr>
    </w:lvl>
    <w:lvl w:ilvl="5" w:tplc="3C9A2BD8">
      <w:start w:val="1"/>
      <w:numFmt w:val="bullet"/>
      <w:lvlText w:val=""/>
      <w:lvlJc w:val="left"/>
      <w:pPr>
        <w:ind w:left="4320" w:hanging="360"/>
      </w:pPr>
      <w:rPr>
        <w:rFonts w:ascii="Wingdings" w:hAnsi="Wingdings" w:hint="default"/>
      </w:rPr>
    </w:lvl>
    <w:lvl w:ilvl="6" w:tplc="60A648A2">
      <w:start w:val="1"/>
      <w:numFmt w:val="bullet"/>
      <w:lvlText w:val=""/>
      <w:lvlJc w:val="left"/>
      <w:pPr>
        <w:ind w:left="5040" w:hanging="360"/>
      </w:pPr>
      <w:rPr>
        <w:rFonts w:ascii="Symbol" w:hAnsi="Symbol" w:hint="default"/>
      </w:rPr>
    </w:lvl>
    <w:lvl w:ilvl="7" w:tplc="C3426A50">
      <w:start w:val="1"/>
      <w:numFmt w:val="bullet"/>
      <w:lvlText w:val="o"/>
      <w:lvlJc w:val="left"/>
      <w:pPr>
        <w:ind w:left="5760" w:hanging="360"/>
      </w:pPr>
      <w:rPr>
        <w:rFonts w:ascii="Courier New" w:hAnsi="Courier New" w:hint="default"/>
      </w:rPr>
    </w:lvl>
    <w:lvl w:ilvl="8" w:tplc="0B74A4C6">
      <w:start w:val="1"/>
      <w:numFmt w:val="bullet"/>
      <w:lvlText w:val=""/>
      <w:lvlJc w:val="left"/>
      <w:pPr>
        <w:ind w:left="6480" w:hanging="360"/>
      </w:pPr>
      <w:rPr>
        <w:rFonts w:ascii="Wingdings" w:hAnsi="Wingdings" w:hint="default"/>
      </w:rPr>
    </w:lvl>
  </w:abstractNum>
  <w:abstractNum w:abstractNumId="9" w15:restartNumberingAfterBreak="0">
    <w:nsid w:val="58693EF2"/>
    <w:multiLevelType w:val="hybridMultilevel"/>
    <w:tmpl w:val="F37A3692"/>
    <w:lvl w:ilvl="0" w:tplc="D486A0A2">
      <w:start w:val="1"/>
      <w:numFmt w:val="bullet"/>
      <w:lvlText w:val="·"/>
      <w:lvlJc w:val="left"/>
      <w:pPr>
        <w:ind w:left="720" w:hanging="360"/>
      </w:pPr>
      <w:rPr>
        <w:rFonts w:ascii="Symbol" w:hAnsi="Symbol" w:hint="default"/>
      </w:rPr>
    </w:lvl>
    <w:lvl w:ilvl="1" w:tplc="D286E3C6">
      <w:start w:val="1"/>
      <w:numFmt w:val="bullet"/>
      <w:lvlText w:val="o"/>
      <w:lvlJc w:val="left"/>
      <w:pPr>
        <w:ind w:left="1440" w:hanging="360"/>
      </w:pPr>
      <w:rPr>
        <w:rFonts w:ascii="Courier New" w:hAnsi="Courier New" w:hint="default"/>
      </w:rPr>
    </w:lvl>
    <w:lvl w:ilvl="2" w:tplc="DA5CBAD4">
      <w:start w:val="1"/>
      <w:numFmt w:val="bullet"/>
      <w:lvlText w:val=""/>
      <w:lvlJc w:val="left"/>
      <w:pPr>
        <w:ind w:left="2160" w:hanging="360"/>
      </w:pPr>
      <w:rPr>
        <w:rFonts w:ascii="Wingdings" w:hAnsi="Wingdings" w:hint="default"/>
      </w:rPr>
    </w:lvl>
    <w:lvl w:ilvl="3" w:tplc="E52C7346">
      <w:start w:val="1"/>
      <w:numFmt w:val="bullet"/>
      <w:lvlText w:val=""/>
      <w:lvlJc w:val="left"/>
      <w:pPr>
        <w:ind w:left="2880" w:hanging="360"/>
      </w:pPr>
      <w:rPr>
        <w:rFonts w:ascii="Symbol" w:hAnsi="Symbol" w:hint="default"/>
      </w:rPr>
    </w:lvl>
    <w:lvl w:ilvl="4" w:tplc="CB88AFC0">
      <w:start w:val="1"/>
      <w:numFmt w:val="bullet"/>
      <w:lvlText w:val="o"/>
      <w:lvlJc w:val="left"/>
      <w:pPr>
        <w:ind w:left="3600" w:hanging="360"/>
      </w:pPr>
      <w:rPr>
        <w:rFonts w:ascii="Courier New" w:hAnsi="Courier New" w:hint="default"/>
      </w:rPr>
    </w:lvl>
    <w:lvl w:ilvl="5" w:tplc="DA7AFC86">
      <w:start w:val="1"/>
      <w:numFmt w:val="bullet"/>
      <w:lvlText w:val=""/>
      <w:lvlJc w:val="left"/>
      <w:pPr>
        <w:ind w:left="4320" w:hanging="360"/>
      </w:pPr>
      <w:rPr>
        <w:rFonts w:ascii="Wingdings" w:hAnsi="Wingdings" w:hint="default"/>
      </w:rPr>
    </w:lvl>
    <w:lvl w:ilvl="6" w:tplc="4B1856C6">
      <w:start w:val="1"/>
      <w:numFmt w:val="bullet"/>
      <w:lvlText w:val=""/>
      <w:lvlJc w:val="left"/>
      <w:pPr>
        <w:ind w:left="5040" w:hanging="360"/>
      </w:pPr>
      <w:rPr>
        <w:rFonts w:ascii="Symbol" w:hAnsi="Symbol" w:hint="default"/>
      </w:rPr>
    </w:lvl>
    <w:lvl w:ilvl="7" w:tplc="3B2A4936">
      <w:start w:val="1"/>
      <w:numFmt w:val="bullet"/>
      <w:lvlText w:val="o"/>
      <w:lvlJc w:val="left"/>
      <w:pPr>
        <w:ind w:left="5760" w:hanging="360"/>
      </w:pPr>
      <w:rPr>
        <w:rFonts w:ascii="Courier New" w:hAnsi="Courier New" w:hint="default"/>
      </w:rPr>
    </w:lvl>
    <w:lvl w:ilvl="8" w:tplc="EE20EAEA">
      <w:start w:val="1"/>
      <w:numFmt w:val="bullet"/>
      <w:lvlText w:val=""/>
      <w:lvlJc w:val="left"/>
      <w:pPr>
        <w:ind w:left="6480" w:hanging="360"/>
      </w:pPr>
      <w:rPr>
        <w:rFonts w:ascii="Wingdings" w:hAnsi="Wingdings" w:hint="default"/>
      </w:rPr>
    </w:lvl>
  </w:abstractNum>
  <w:abstractNum w:abstractNumId="10" w15:restartNumberingAfterBreak="0">
    <w:nsid w:val="5F740386"/>
    <w:multiLevelType w:val="hybridMultilevel"/>
    <w:tmpl w:val="8D5227AA"/>
    <w:lvl w:ilvl="0" w:tplc="123E2F66">
      <w:start w:val="1"/>
      <w:numFmt w:val="bullet"/>
      <w:lvlText w:val="·"/>
      <w:lvlJc w:val="left"/>
      <w:pPr>
        <w:ind w:left="720" w:hanging="360"/>
      </w:pPr>
      <w:rPr>
        <w:rFonts w:ascii="Symbol" w:hAnsi="Symbol" w:hint="default"/>
      </w:rPr>
    </w:lvl>
    <w:lvl w:ilvl="1" w:tplc="D1CE8220">
      <w:start w:val="1"/>
      <w:numFmt w:val="bullet"/>
      <w:lvlText w:val="o"/>
      <w:lvlJc w:val="left"/>
      <w:pPr>
        <w:ind w:left="1440" w:hanging="360"/>
      </w:pPr>
      <w:rPr>
        <w:rFonts w:ascii="Courier New" w:hAnsi="Courier New" w:hint="default"/>
      </w:rPr>
    </w:lvl>
    <w:lvl w:ilvl="2" w:tplc="A8AEC6BC">
      <w:start w:val="1"/>
      <w:numFmt w:val="bullet"/>
      <w:lvlText w:val=""/>
      <w:lvlJc w:val="left"/>
      <w:pPr>
        <w:ind w:left="2160" w:hanging="360"/>
      </w:pPr>
      <w:rPr>
        <w:rFonts w:ascii="Wingdings" w:hAnsi="Wingdings" w:hint="default"/>
      </w:rPr>
    </w:lvl>
    <w:lvl w:ilvl="3" w:tplc="B92AF374">
      <w:start w:val="1"/>
      <w:numFmt w:val="bullet"/>
      <w:lvlText w:val=""/>
      <w:lvlJc w:val="left"/>
      <w:pPr>
        <w:ind w:left="2880" w:hanging="360"/>
      </w:pPr>
      <w:rPr>
        <w:rFonts w:ascii="Symbol" w:hAnsi="Symbol" w:hint="default"/>
      </w:rPr>
    </w:lvl>
    <w:lvl w:ilvl="4" w:tplc="53902818">
      <w:start w:val="1"/>
      <w:numFmt w:val="bullet"/>
      <w:lvlText w:val="o"/>
      <w:lvlJc w:val="left"/>
      <w:pPr>
        <w:ind w:left="3600" w:hanging="360"/>
      </w:pPr>
      <w:rPr>
        <w:rFonts w:ascii="Courier New" w:hAnsi="Courier New" w:hint="default"/>
      </w:rPr>
    </w:lvl>
    <w:lvl w:ilvl="5" w:tplc="89C491F6">
      <w:start w:val="1"/>
      <w:numFmt w:val="bullet"/>
      <w:lvlText w:val=""/>
      <w:lvlJc w:val="left"/>
      <w:pPr>
        <w:ind w:left="4320" w:hanging="360"/>
      </w:pPr>
      <w:rPr>
        <w:rFonts w:ascii="Wingdings" w:hAnsi="Wingdings" w:hint="default"/>
      </w:rPr>
    </w:lvl>
    <w:lvl w:ilvl="6" w:tplc="21ECC4FE">
      <w:start w:val="1"/>
      <w:numFmt w:val="bullet"/>
      <w:lvlText w:val=""/>
      <w:lvlJc w:val="left"/>
      <w:pPr>
        <w:ind w:left="5040" w:hanging="360"/>
      </w:pPr>
      <w:rPr>
        <w:rFonts w:ascii="Symbol" w:hAnsi="Symbol" w:hint="default"/>
      </w:rPr>
    </w:lvl>
    <w:lvl w:ilvl="7" w:tplc="DA2ED036">
      <w:start w:val="1"/>
      <w:numFmt w:val="bullet"/>
      <w:lvlText w:val="o"/>
      <w:lvlJc w:val="left"/>
      <w:pPr>
        <w:ind w:left="5760" w:hanging="360"/>
      </w:pPr>
      <w:rPr>
        <w:rFonts w:ascii="Courier New" w:hAnsi="Courier New" w:hint="default"/>
      </w:rPr>
    </w:lvl>
    <w:lvl w:ilvl="8" w:tplc="493A8D1E">
      <w:start w:val="1"/>
      <w:numFmt w:val="bullet"/>
      <w:lvlText w:val=""/>
      <w:lvlJc w:val="left"/>
      <w:pPr>
        <w:ind w:left="6480" w:hanging="360"/>
      </w:pPr>
      <w:rPr>
        <w:rFonts w:ascii="Wingdings" w:hAnsi="Wingdings" w:hint="default"/>
      </w:rPr>
    </w:lvl>
  </w:abstractNum>
  <w:abstractNum w:abstractNumId="11" w15:restartNumberingAfterBreak="0">
    <w:nsid w:val="6F492DEA"/>
    <w:multiLevelType w:val="hybridMultilevel"/>
    <w:tmpl w:val="B2480EC8"/>
    <w:lvl w:ilvl="0" w:tplc="8E062220">
      <w:start w:val="1"/>
      <w:numFmt w:val="bullet"/>
      <w:lvlText w:val="·"/>
      <w:lvlJc w:val="left"/>
      <w:pPr>
        <w:ind w:left="720" w:hanging="360"/>
      </w:pPr>
      <w:rPr>
        <w:rFonts w:ascii="Symbol" w:hAnsi="Symbol" w:hint="default"/>
      </w:rPr>
    </w:lvl>
    <w:lvl w:ilvl="1" w:tplc="9268086C">
      <w:start w:val="1"/>
      <w:numFmt w:val="bullet"/>
      <w:lvlText w:val="o"/>
      <w:lvlJc w:val="left"/>
      <w:pPr>
        <w:ind w:left="1440" w:hanging="360"/>
      </w:pPr>
      <w:rPr>
        <w:rFonts w:ascii="Courier New" w:hAnsi="Courier New" w:hint="default"/>
      </w:rPr>
    </w:lvl>
    <w:lvl w:ilvl="2" w:tplc="98E03EC0">
      <w:start w:val="1"/>
      <w:numFmt w:val="bullet"/>
      <w:lvlText w:val=""/>
      <w:lvlJc w:val="left"/>
      <w:pPr>
        <w:ind w:left="2160" w:hanging="360"/>
      </w:pPr>
      <w:rPr>
        <w:rFonts w:ascii="Wingdings" w:hAnsi="Wingdings" w:hint="default"/>
      </w:rPr>
    </w:lvl>
    <w:lvl w:ilvl="3" w:tplc="D1B0D7DE">
      <w:start w:val="1"/>
      <w:numFmt w:val="bullet"/>
      <w:lvlText w:val=""/>
      <w:lvlJc w:val="left"/>
      <w:pPr>
        <w:ind w:left="2880" w:hanging="360"/>
      </w:pPr>
      <w:rPr>
        <w:rFonts w:ascii="Symbol" w:hAnsi="Symbol" w:hint="default"/>
      </w:rPr>
    </w:lvl>
    <w:lvl w:ilvl="4" w:tplc="E31C2396">
      <w:start w:val="1"/>
      <w:numFmt w:val="bullet"/>
      <w:lvlText w:val="o"/>
      <w:lvlJc w:val="left"/>
      <w:pPr>
        <w:ind w:left="3600" w:hanging="360"/>
      </w:pPr>
      <w:rPr>
        <w:rFonts w:ascii="Courier New" w:hAnsi="Courier New" w:hint="default"/>
      </w:rPr>
    </w:lvl>
    <w:lvl w:ilvl="5" w:tplc="7C5E81E2">
      <w:start w:val="1"/>
      <w:numFmt w:val="bullet"/>
      <w:lvlText w:val=""/>
      <w:lvlJc w:val="left"/>
      <w:pPr>
        <w:ind w:left="4320" w:hanging="360"/>
      </w:pPr>
      <w:rPr>
        <w:rFonts w:ascii="Wingdings" w:hAnsi="Wingdings" w:hint="default"/>
      </w:rPr>
    </w:lvl>
    <w:lvl w:ilvl="6" w:tplc="517464A4">
      <w:start w:val="1"/>
      <w:numFmt w:val="bullet"/>
      <w:lvlText w:val=""/>
      <w:lvlJc w:val="left"/>
      <w:pPr>
        <w:ind w:left="5040" w:hanging="360"/>
      </w:pPr>
      <w:rPr>
        <w:rFonts w:ascii="Symbol" w:hAnsi="Symbol" w:hint="default"/>
      </w:rPr>
    </w:lvl>
    <w:lvl w:ilvl="7" w:tplc="66E618A0">
      <w:start w:val="1"/>
      <w:numFmt w:val="bullet"/>
      <w:lvlText w:val="o"/>
      <w:lvlJc w:val="left"/>
      <w:pPr>
        <w:ind w:left="5760" w:hanging="360"/>
      </w:pPr>
      <w:rPr>
        <w:rFonts w:ascii="Courier New" w:hAnsi="Courier New" w:hint="default"/>
      </w:rPr>
    </w:lvl>
    <w:lvl w:ilvl="8" w:tplc="346ECA2C">
      <w:start w:val="1"/>
      <w:numFmt w:val="bullet"/>
      <w:lvlText w:val=""/>
      <w:lvlJc w:val="left"/>
      <w:pPr>
        <w:ind w:left="6480" w:hanging="360"/>
      </w:pPr>
      <w:rPr>
        <w:rFonts w:ascii="Wingdings" w:hAnsi="Wingdings" w:hint="default"/>
      </w:rPr>
    </w:lvl>
  </w:abstractNum>
  <w:abstractNum w:abstractNumId="12" w15:restartNumberingAfterBreak="0">
    <w:nsid w:val="7A05677D"/>
    <w:multiLevelType w:val="hybridMultilevel"/>
    <w:tmpl w:val="057232C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631596332">
    <w:abstractNumId w:val="10"/>
  </w:num>
  <w:num w:numId="2" w16cid:durableId="402604658">
    <w:abstractNumId w:val="8"/>
  </w:num>
  <w:num w:numId="3" w16cid:durableId="1055399004">
    <w:abstractNumId w:val="9"/>
  </w:num>
  <w:num w:numId="4" w16cid:durableId="655189919">
    <w:abstractNumId w:val="4"/>
  </w:num>
  <w:num w:numId="5" w16cid:durableId="876164255">
    <w:abstractNumId w:val="7"/>
  </w:num>
  <w:num w:numId="6" w16cid:durableId="1362323829">
    <w:abstractNumId w:val="11"/>
  </w:num>
  <w:num w:numId="7" w16cid:durableId="1635793296">
    <w:abstractNumId w:val="1"/>
  </w:num>
  <w:num w:numId="8" w16cid:durableId="1860122801">
    <w:abstractNumId w:val="0"/>
  </w:num>
  <w:num w:numId="9" w16cid:durableId="1895039861">
    <w:abstractNumId w:val="2"/>
  </w:num>
  <w:num w:numId="10" w16cid:durableId="2094425555">
    <w:abstractNumId w:val="5"/>
  </w:num>
  <w:num w:numId="11" w16cid:durableId="2000762960">
    <w:abstractNumId w:val="3"/>
  </w:num>
  <w:num w:numId="12" w16cid:durableId="24252884">
    <w:abstractNumId w:val="6"/>
  </w:num>
  <w:num w:numId="13" w16cid:durableId="9725153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D7"/>
    <w:rsid w:val="0000773B"/>
    <w:rsid w:val="000147D5"/>
    <w:rsid w:val="000457D7"/>
    <w:rsid w:val="00097026"/>
    <w:rsid w:val="00120F24"/>
    <w:rsid w:val="001B1361"/>
    <w:rsid w:val="001E2EF5"/>
    <w:rsid w:val="0022493A"/>
    <w:rsid w:val="0023162C"/>
    <w:rsid w:val="00252726"/>
    <w:rsid w:val="002E258D"/>
    <w:rsid w:val="003300E2"/>
    <w:rsid w:val="00360900"/>
    <w:rsid w:val="003638B1"/>
    <w:rsid w:val="00364A98"/>
    <w:rsid w:val="003A2A15"/>
    <w:rsid w:val="005432FF"/>
    <w:rsid w:val="00633424"/>
    <w:rsid w:val="0068209F"/>
    <w:rsid w:val="00697064"/>
    <w:rsid w:val="006B60BB"/>
    <w:rsid w:val="0079685F"/>
    <w:rsid w:val="007B2DBD"/>
    <w:rsid w:val="007C5453"/>
    <w:rsid w:val="007E21C5"/>
    <w:rsid w:val="00825D19"/>
    <w:rsid w:val="0084590A"/>
    <w:rsid w:val="00923A63"/>
    <w:rsid w:val="00A346A5"/>
    <w:rsid w:val="00A8173D"/>
    <w:rsid w:val="00AD2DA1"/>
    <w:rsid w:val="00D61250"/>
    <w:rsid w:val="00D75674"/>
    <w:rsid w:val="00E112AD"/>
    <w:rsid w:val="00F23505"/>
    <w:rsid w:val="00F65070"/>
    <w:rsid w:val="00F666E7"/>
    <w:rsid w:val="00F92B92"/>
    <w:rsid w:val="00FA7B29"/>
    <w:rsid w:val="00FB78FF"/>
    <w:rsid w:val="00FC4450"/>
    <w:rsid w:val="0B11DF9C"/>
    <w:rsid w:val="0B299F4B"/>
    <w:rsid w:val="1011BD03"/>
    <w:rsid w:val="14911A48"/>
    <w:rsid w:val="1E7F515D"/>
    <w:rsid w:val="21B6F21F"/>
    <w:rsid w:val="24637E05"/>
    <w:rsid w:val="2EB084BF"/>
    <w:rsid w:val="3139FADB"/>
    <w:rsid w:val="35B91255"/>
    <w:rsid w:val="370733C3"/>
    <w:rsid w:val="3B62BD58"/>
    <w:rsid w:val="4023FFC4"/>
    <w:rsid w:val="441A3D61"/>
    <w:rsid w:val="483F97DF"/>
    <w:rsid w:val="50EF0D01"/>
    <w:rsid w:val="59BC8416"/>
    <w:rsid w:val="5CCF7443"/>
    <w:rsid w:val="6D715B30"/>
    <w:rsid w:val="6EF62E43"/>
    <w:rsid w:val="7A4D8422"/>
    <w:rsid w:val="7BE2931E"/>
    <w:rsid w:val="7CF87E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0393"/>
  <w15:chartTrackingRefBased/>
  <w15:docId w15:val="{5CF6D5BC-A475-497B-9381-0CA3CA96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457D7"/>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7D7"/>
    <w:rPr>
      <w:color w:val="0563C1" w:themeColor="hyperlink"/>
      <w:u w:val="single"/>
    </w:rPr>
  </w:style>
  <w:style w:type="character" w:styleId="UnresolvedMention">
    <w:name w:val="Unresolved Mention"/>
    <w:basedOn w:val="DefaultParagraphFont"/>
    <w:uiPriority w:val="99"/>
    <w:semiHidden/>
    <w:unhideWhenUsed/>
    <w:rsid w:val="000457D7"/>
    <w:rPr>
      <w:color w:val="605E5C"/>
      <w:shd w:val="clear" w:color="auto" w:fill="E1DFDD"/>
    </w:rPr>
  </w:style>
  <w:style w:type="character" w:customStyle="1" w:styleId="c-messageeditedlabel">
    <w:name w:val="c-message__edited_label"/>
    <w:basedOn w:val="DefaultParagraphFont"/>
    <w:rsid w:val="000457D7"/>
  </w:style>
  <w:style w:type="character" w:customStyle="1" w:styleId="Heading2Char">
    <w:name w:val="Heading 2 Char"/>
    <w:basedOn w:val="DefaultParagraphFont"/>
    <w:link w:val="Heading2"/>
    <w:uiPriority w:val="9"/>
    <w:rsid w:val="000457D7"/>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F666E7"/>
    <w:pPr>
      <w:ind w:left="720"/>
      <w:contextualSpacing/>
    </w:pPr>
  </w:style>
  <w:style w:type="character" w:styleId="PlaceholderText">
    <w:name w:val="Placeholder Text"/>
    <w:basedOn w:val="DefaultParagraphFont"/>
    <w:uiPriority w:val="99"/>
    <w:semiHidden/>
    <w:rsid w:val="00FB78FF"/>
    <w:rPr>
      <w:color w:val="808080"/>
    </w:rPr>
  </w:style>
  <w:style w:type="paragraph" w:styleId="NormalWeb">
    <w:name w:val="Normal (Web)"/>
    <w:basedOn w:val="Normal"/>
    <w:uiPriority w:val="99"/>
    <w:semiHidden/>
    <w:unhideWhenUsed/>
    <w:rsid w:val="00120F24"/>
    <w:pPr>
      <w:spacing w:before="100" w:beforeAutospacing="1" w:after="100" w:afterAutospacing="1" w:line="240" w:lineRule="auto"/>
    </w:pPr>
    <w:rPr>
      <w:rFonts w:ascii="Times New Roman" w:eastAsia="Times New Roman" w:hAnsi="Times New Roman" w:cs="Times New Roman"/>
      <w:kern w:val="0"/>
      <w:sz w:val="24"/>
      <w:szCs w:val="24"/>
      <w:lang w:val="en-SE" w:eastAsia="en-SE"/>
      <w14:ligatures w14:val="none"/>
    </w:rPr>
  </w:style>
  <w:style w:type="character" w:styleId="Strong">
    <w:name w:val="Strong"/>
    <w:basedOn w:val="DefaultParagraphFont"/>
    <w:uiPriority w:val="22"/>
    <w:qFormat/>
    <w:rsid w:val="00120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accountor-products.atlassian.net/browse/DEV-72525"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5B64EFACA04E4B86D8A1AF591B1CAF" ma:contentTypeVersion="16" ma:contentTypeDescription="Create a new document." ma:contentTypeScope="" ma:versionID="d16919361060995103c56e6949537c37">
  <xsd:schema xmlns:xsd="http://www.w3.org/2001/XMLSchema" xmlns:xs="http://www.w3.org/2001/XMLSchema" xmlns:p="http://schemas.microsoft.com/office/2006/metadata/properties" xmlns:ns2="658ce594-4298-4e79-91ee-b3226d30baac" xmlns:ns3="954a364e-7d87-41aa-a3a3-78771ec87e56" xmlns:ns4="75343b7d-d22b-478c-8f15-ad6839095607" targetNamespace="http://schemas.microsoft.com/office/2006/metadata/properties" ma:root="true" ma:fieldsID="9572234bcf6794a8013ed9927acb4e2d" ns2:_="" ns3:_="" ns4:_="">
    <xsd:import namespace="658ce594-4298-4e79-91ee-b3226d30baac"/>
    <xsd:import namespace="954a364e-7d87-41aa-a3a3-78771ec87e56"/>
    <xsd:import namespace="75343b7d-d22b-478c-8f15-ad68390956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ce594-4298-4e79-91ee-b3226d30b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1c1745-6098-4992-b364-a43ff45ca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4a364e-7d87-41aa-a3a3-78771ec87e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43b7d-d22b-478c-8f15-ad683909560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b1abdb-4a10-4efb-847a-6004cbe6527d}" ma:internalName="TaxCatchAll" ma:showField="CatchAllData" ma:web="954a364e-7d87-41aa-a3a3-78771ec87e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8ce594-4298-4e79-91ee-b3226d30baac">
      <Terms xmlns="http://schemas.microsoft.com/office/infopath/2007/PartnerControls"/>
    </lcf76f155ced4ddcb4097134ff3c332f>
    <TaxCatchAll xmlns="75343b7d-d22b-478c-8f15-ad68390956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672BB-F5F9-4B75-8918-188B0899C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ce594-4298-4e79-91ee-b3226d30baac"/>
    <ds:schemaRef ds:uri="954a364e-7d87-41aa-a3a3-78771ec87e56"/>
    <ds:schemaRef ds:uri="75343b7d-d22b-478c-8f15-ad6839095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A9FDE-3A79-4B19-8D2D-3F837F181924}">
  <ds:schemaRefs>
    <ds:schemaRef ds:uri="http://schemas.microsoft.com/office/2006/metadata/properties"/>
    <ds:schemaRef ds:uri="http://schemas.microsoft.com/office/infopath/2007/PartnerControls"/>
    <ds:schemaRef ds:uri="658ce594-4298-4e79-91ee-b3226d30baac"/>
    <ds:schemaRef ds:uri="75343b7d-d22b-478c-8f15-ad6839095607"/>
  </ds:schemaRefs>
</ds:datastoreItem>
</file>

<file path=customXml/itemProps3.xml><?xml version="1.0" encoding="utf-8"?>
<ds:datastoreItem xmlns:ds="http://schemas.openxmlformats.org/officeDocument/2006/customXml" ds:itemID="{8BA6B190-604E-44F6-B96F-1667B7210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1163</Words>
  <Characters>6632</Characters>
  <Application>Microsoft Office Word</Application>
  <DocSecurity>0</DocSecurity>
  <Lines>55</Lines>
  <Paragraphs>15</Paragraphs>
  <ScaleCrop>false</ScaleCrop>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Åkerlind Åsa</dc:creator>
  <cp:keywords/>
  <dc:description/>
  <cp:lastModifiedBy>Aronsson Disa</cp:lastModifiedBy>
  <cp:revision>2</cp:revision>
  <cp:lastPrinted>2023-08-28T08:32:00Z</cp:lastPrinted>
  <dcterms:created xsi:type="dcterms:W3CDTF">2024-05-14T11:04:00Z</dcterms:created>
  <dcterms:modified xsi:type="dcterms:W3CDTF">2024-05-14T11:04:00Z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0x0101008B5B64EFACA04E4B86D8A1AF591B1CAF</vt:lpwstr>
  </property>
  <property fmtid="{D5CDD505-2E9C-101B-9397-08002B2CF9AE}" pid="3" name="MediaServiceImageTags">
    <vt:lpwstr/>
  </property>
</Properties>
</file>